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D7C37" w14:textId="77777777" w:rsidR="001C434E" w:rsidRDefault="001C434E" w:rsidP="001C434E">
      <w:pPr>
        <w:pStyle w:val="F2-zkladn"/>
        <w:rPr>
          <w:rFonts w:ascii="Invesco Interstate Bold" w:hAnsi="Invesco Interstate Bold" w:cs="Times New Roman"/>
          <w:b/>
          <w:bCs/>
          <w:sz w:val="28"/>
          <w:szCs w:val="28"/>
          <w:lang w:eastAsia="de-DE"/>
        </w:rPr>
      </w:pPr>
      <w:r w:rsidRPr="001C434E">
        <w:rPr>
          <w:rFonts w:ascii="Invesco Interstate Bold" w:hAnsi="Invesco Interstate Bold" w:cs="Times New Roman"/>
          <w:b/>
          <w:bCs/>
          <w:sz w:val="28"/>
          <w:szCs w:val="28"/>
          <w:lang w:eastAsia="de-DE"/>
        </w:rPr>
        <w:t xml:space="preserve">O </w:t>
      </w:r>
      <w:proofErr w:type="spellStart"/>
      <w:r w:rsidRPr="001C434E">
        <w:rPr>
          <w:rFonts w:ascii="Invesco Interstate Bold" w:hAnsi="Invesco Interstate Bold" w:cs="Times New Roman"/>
          <w:b/>
          <w:bCs/>
          <w:sz w:val="28"/>
          <w:szCs w:val="28"/>
          <w:lang w:eastAsia="de-DE"/>
        </w:rPr>
        <w:t>Shillerově</w:t>
      </w:r>
      <w:proofErr w:type="spellEnd"/>
      <w:r w:rsidRPr="001C434E">
        <w:rPr>
          <w:rFonts w:ascii="Invesco Interstate Bold" w:hAnsi="Invesco Interstate Bold" w:cs="Times New Roman"/>
          <w:b/>
          <w:bCs/>
          <w:sz w:val="28"/>
          <w:szCs w:val="28"/>
          <w:lang w:eastAsia="de-DE"/>
        </w:rPr>
        <w:t xml:space="preserve"> P/E a výnosnosti indexu S&amp;P 500</w:t>
      </w:r>
    </w:p>
    <w:p w14:paraId="557E2121" w14:textId="77777777" w:rsidR="001C434E" w:rsidRPr="001C434E" w:rsidRDefault="001C434E" w:rsidP="001C434E">
      <w:pPr>
        <w:pStyle w:val="F2-zkladn"/>
        <w:rPr>
          <w:rFonts w:ascii="Invesco Interstate Bold" w:hAnsi="Invesco Interstate Bold" w:cs="Times New Roman"/>
          <w:b/>
          <w:bCs/>
          <w:sz w:val="28"/>
          <w:szCs w:val="28"/>
          <w:lang w:eastAsia="de-DE"/>
        </w:rPr>
      </w:pPr>
    </w:p>
    <w:p w14:paraId="2761DD67" w14:textId="5EEE895D" w:rsidR="001C434E" w:rsidRDefault="001C434E" w:rsidP="001C434E">
      <w:pPr>
        <w:spacing w:line="276" w:lineRule="auto"/>
        <w:rPr>
          <w:rFonts w:ascii="Invesco Interstate Light" w:eastAsiaTheme="minorEastAsia" w:hAnsi="Invesco Interstate Light"/>
          <w:b/>
          <w:bCs/>
          <w:sz w:val="22"/>
          <w:szCs w:val="22"/>
        </w:rPr>
      </w:pPr>
      <w:r w:rsidRPr="001C434E">
        <w:rPr>
          <w:rFonts w:ascii="Invesco Interstate Light" w:eastAsiaTheme="minorEastAsia" w:hAnsi="Invesco Interstate Light"/>
          <w:b/>
          <w:bCs/>
          <w:sz w:val="22"/>
          <w:szCs w:val="22"/>
        </w:rPr>
        <w:t>Americké akcie v posledních 12 měsících ignorovaly signály ohledně ocenění s tím, jak rallye vedená technologiemi zvýšila akciové výnosy. Tento trend ale od počátku roku vykazuje známky vyčerpání s tím, jak evropské a čínské akcie dosahují lepších výsledků. Zároveň ocenění dosáhlo úrovní blízkých extrémům na základě cyklicky upravených poměrů cena/zisk.</w:t>
      </w:r>
    </w:p>
    <w:p w14:paraId="48D6C54A" w14:textId="77777777" w:rsidR="001C434E" w:rsidRPr="001C434E" w:rsidRDefault="001C434E" w:rsidP="001C434E">
      <w:pPr>
        <w:rPr>
          <w:rFonts w:ascii="Invesco Interstate Light" w:eastAsiaTheme="minorEastAsia" w:hAnsi="Invesco Interstate Light"/>
          <w:b/>
          <w:bCs/>
          <w:sz w:val="22"/>
          <w:szCs w:val="22"/>
        </w:rPr>
      </w:pPr>
    </w:p>
    <w:p w14:paraId="3624604C" w14:textId="5DAF36A3" w:rsidR="001C434E" w:rsidRDefault="001C434E" w:rsidP="001C434E">
      <w:pPr>
        <w:spacing w:line="276" w:lineRule="auto"/>
        <w:jc w:val="both"/>
        <w:rPr>
          <w:rFonts w:ascii="Invesco Interstate Light" w:eastAsiaTheme="minorEastAsia" w:hAnsi="Invesco Interstate Light"/>
          <w:sz w:val="22"/>
          <w:szCs w:val="22"/>
        </w:rPr>
      </w:pPr>
      <w:r w:rsidRPr="005F469F">
        <w:rPr>
          <w:rFonts w:ascii="Invesco Interstate Light" w:eastAsiaTheme="minorEastAsia" w:hAnsi="Invesco Interstate Light"/>
          <w:i/>
          <w:iCs/>
          <w:sz w:val="22"/>
          <w:szCs w:val="22"/>
        </w:rPr>
        <w:t>„</w:t>
      </w:r>
      <w:proofErr w:type="spellStart"/>
      <w:r w:rsidRPr="005F469F">
        <w:rPr>
          <w:rFonts w:ascii="Invesco Interstate Light" w:eastAsiaTheme="minorEastAsia" w:hAnsi="Invesco Interstate Light"/>
          <w:i/>
          <w:iCs/>
          <w:sz w:val="22"/>
          <w:szCs w:val="22"/>
        </w:rPr>
        <w:t>Shillerův</w:t>
      </w:r>
      <w:proofErr w:type="spellEnd"/>
      <w:r w:rsidRPr="005F469F">
        <w:rPr>
          <w:rFonts w:ascii="Invesco Interstate Light" w:eastAsiaTheme="minorEastAsia" w:hAnsi="Invesco Interstate Light"/>
          <w:i/>
          <w:iCs/>
          <w:sz w:val="22"/>
          <w:szCs w:val="22"/>
        </w:rPr>
        <w:t xml:space="preserve"> poměr P/E používám jako případovou studii k přibližnému stanovení očekávaných výnosů indexu S&amp;P 500 v příštích 10 letech. Mám ignorovat své </w:t>
      </w:r>
      <w:proofErr w:type="spellStart"/>
      <w:r w:rsidRPr="005F469F">
        <w:rPr>
          <w:rFonts w:ascii="Invesco Interstate Light" w:eastAsiaTheme="minorEastAsia" w:hAnsi="Invesco Interstate Light"/>
          <w:i/>
          <w:iCs/>
          <w:sz w:val="22"/>
          <w:szCs w:val="22"/>
        </w:rPr>
        <w:t>kontrariánské</w:t>
      </w:r>
      <w:proofErr w:type="spellEnd"/>
      <w:r w:rsidRPr="005F469F">
        <w:rPr>
          <w:rFonts w:ascii="Invesco Interstate Light" w:eastAsiaTheme="minorEastAsia" w:hAnsi="Invesco Interstate Light"/>
          <w:i/>
          <w:iCs/>
          <w:sz w:val="22"/>
          <w:szCs w:val="22"/>
        </w:rPr>
        <w:t xml:space="preserve"> instinkty?  Je konec zimy a já, žijící v severní Evropě, nutně potřebuji dávku slunečního svitu. Poté, co od začátku roku nedosáhly dostatečné výkonnosti, se mi zdá, že americké akcie také potřebují, aby na ně zasvítilo slunce, protože sentiment začíná uvadat kvůli dopadům Trumpova prezidentství,“</w:t>
      </w:r>
      <w:r w:rsidRPr="001C434E">
        <w:rPr>
          <w:rFonts w:ascii="Invesco Interstate Light" w:eastAsiaTheme="minorEastAsia" w:hAnsi="Invesco Interstate Light"/>
          <w:sz w:val="22"/>
          <w:szCs w:val="22"/>
        </w:rPr>
        <w:t xml:space="preserve"> prohlašuje András </w:t>
      </w:r>
      <w:proofErr w:type="spellStart"/>
      <w:r w:rsidRPr="001C434E">
        <w:rPr>
          <w:rFonts w:ascii="Invesco Interstate Light" w:eastAsiaTheme="minorEastAsia" w:hAnsi="Invesco Interstate Light"/>
          <w:sz w:val="22"/>
          <w:szCs w:val="22"/>
        </w:rPr>
        <w:t>Vig</w:t>
      </w:r>
      <w:proofErr w:type="spellEnd"/>
      <w:r w:rsidRPr="001C434E">
        <w:rPr>
          <w:rFonts w:ascii="Invesco Interstate Light" w:eastAsiaTheme="minorEastAsia" w:hAnsi="Invesco Interstate Light"/>
          <w:sz w:val="22"/>
          <w:szCs w:val="22"/>
        </w:rPr>
        <w:t xml:space="preserve">, stratég v oblasti </w:t>
      </w:r>
      <w:proofErr w:type="spellStart"/>
      <w:r w:rsidRPr="001C434E">
        <w:rPr>
          <w:rFonts w:ascii="Invesco Interstate Light" w:eastAsiaTheme="minorEastAsia" w:hAnsi="Invesco Interstate Light"/>
          <w:sz w:val="22"/>
          <w:szCs w:val="22"/>
        </w:rPr>
        <w:t>multiasset</w:t>
      </w:r>
      <w:proofErr w:type="spellEnd"/>
      <w:r w:rsidRPr="001C434E">
        <w:rPr>
          <w:rFonts w:ascii="Invesco Interstate Light" w:eastAsiaTheme="minorEastAsia" w:hAnsi="Invesco Interstate Light"/>
          <w:sz w:val="22"/>
          <w:szCs w:val="22"/>
        </w:rPr>
        <w:t xml:space="preserve"> ze společnosti Invesco.</w:t>
      </w:r>
    </w:p>
    <w:p w14:paraId="5655F604" w14:textId="50FD229A" w:rsidR="001C434E" w:rsidRPr="001C434E" w:rsidRDefault="001C434E" w:rsidP="001C434E">
      <w:pPr>
        <w:pStyle w:val="F2-zkladn"/>
        <w:rPr>
          <w:rFonts w:ascii="Invesco Interstate Light" w:eastAsiaTheme="minorEastAsia" w:hAnsi="Invesco Interstate Light" w:cs="Times New Roman"/>
          <w:sz w:val="22"/>
          <w:szCs w:val="22"/>
          <w:lang w:eastAsia="de-DE"/>
        </w:rPr>
      </w:pPr>
      <w:r w:rsidRPr="001C434E">
        <w:rPr>
          <w:rFonts w:ascii="Invesco Interstate Light" w:eastAsiaTheme="minorEastAsia" w:hAnsi="Invesco Interstate Light" w:cs="Times New Roman"/>
          <w:sz w:val="22"/>
          <w:szCs w:val="22"/>
          <w:lang w:eastAsia="de-DE"/>
        </w:rPr>
        <w:t xml:space="preserve">Jsou to totiž evropské a čínské akcie, které vedou, jakkoli to v době politiky „America </w:t>
      </w:r>
      <w:proofErr w:type="spellStart"/>
      <w:r w:rsidRPr="001C434E">
        <w:rPr>
          <w:rFonts w:ascii="Invesco Interstate Light" w:eastAsiaTheme="minorEastAsia" w:hAnsi="Invesco Interstate Light" w:cs="Times New Roman"/>
          <w:sz w:val="22"/>
          <w:szCs w:val="22"/>
          <w:lang w:eastAsia="de-DE"/>
        </w:rPr>
        <w:t>First</w:t>
      </w:r>
      <w:proofErr w:type="spellEnd"/>
      <w:r w:rsidRPr="001C434E">
        <w:rPr>
          <w:rFonts w:ascii="Invesco Interstate Light" w:eastAsiaTheme="minorEastAsia" w:hAnsi="Invesco Interstate Light" w:cs="Times New Roman"/>
          <w:sz w:val="22"/>
          <w:szCs w:val="22"/>
          <w:lang w:eastAsia="de-DE"/>
        </w:rPr>
        <w:t xml:space="preserve">“ zní nepravděpodobně. Částečným důvodem může být jejich relativní podváha v oblasti technologií, které jsou letos mírnou brzdou Objevují se totiž otázky týkající se kapitálových výdajů souvisejících s umělou inteligencí. Americký dolar v roce 2025 zatím také oslabil, což se zpravidla shoduje s lepší výkonností rozvíjejících se trhů. Bude se letošní rok vyvíjet ve stejném duchu?  </w:t>
      </w:r>
      <w:r w:rsidRPr="005F469F">
        <w:rPr>
          <w:rFonts w:ascii="Invesco Interstate Light" w:eastAsiaTheme="minorEastAsia" w:hAnsi="Invesco Interstate Light" w:cs="Times New Roman"/>
          <w:i/>
          <w:iCs/>
          <w:sz w:val="22"/>
          <w:szCs w:val="22"/>
          <w:lang w:eastAsia="de-DE"/>
        </w:rPr>
        <w:t>„V listopadu 2024 jsme nastínili naše očekávání a prognózy pro tento rok s nadějí ohledně evropských akcí a akcií rozvojových trhů a spíše skleslým pohledem ohledně Japonska a USA. Pokud by letošní výkonnost pokračovala, znamenalo by to obrat trendu pozorovaného v posledních 12 měsících, kdy americké akcie patřily k nejvýkonnějším,“</w:t>
      </w:r>
      <w:r w:rsidRPr="001C434E">
        <w:rPr>
          <w:rFonts w:ascii="Invesco Interstate Light" w:eastAsiaTheme="minorEastAsia" w:hAnsi="Invesco Interstate Light" w:cs="Times New Roman"/>
          <w:sz w:val="22"/>
          <w:szCs w:val="22"/>
          <w:lang w:eastAsia="de-DE"/>
        </w:rPr>
        <w:t xml:space="preserve"> říká András </w:t>
      </w:r>
      <w:proofErr w:type="spellStart"/>
      <w:r w:rsidRPr="001C434E">
        <w:rPr>
          <w:rFonts w:ascii="Invesco Interstate Light" w:eastAsiaTheme="minorEastAsia" w:hAnsi="Invesco Interstate Light" w:cs="Times New Roman"/>
          <w:sz w:val="22"/>
          <w:szCs w:val="22"/>
          <w:lang w:eastAsia="de-DE"/>
        </w:rPr>
        <w:t>Vig</w:t>
      </w:r>
      <w:proofErr w:type="spellEnd"/>
      <w:r w:rsidRPr="001C434E">
        <w:rPr>
          <w:rFonts w:ascii="Invesco Interstate Light" w:eastAsiaTheme="minorEastAsia" w:hAnsi="Invesco Interstate Light" w:cs="Times New Roman"/>
          <w:sz w:val="22"/>
          <w:szCs w:val="22"/>
          <w:lang w:eastAsia="de-DE"/>
        </w:rPr>
        <w:t>.</w:t>
      </w:r>
    </w:p>
    <w:p w14:paraId="3ACBE2FA" w14:textId="2FB64BE8" w:rsidR="001C434E" w:rsidRDefault="001C434E" w:rsidP="001C434E">
      <w:pPr>
        <w:pStyle w:val="F2-zkladn"/>
      </w:pPr>
      <w:r w:rsidRPr="00010B00">
        <w:rPr>
          <w:noProof/>
        </w:rPr>
        <w:drawing>
          <wp:anchor distT="0" distB="0" distL="114300" distR="114300" simplePos="0" relativeHeight="251659264" behindDoc="1" locked="0" layoutInCell="1" allowOverlap="1" wp14:anchorId="362F0F0C" wp14:editId="668D8C3E">
            <wp:simplePos x="0" y="0"/>
            <wp:positionH relativeFrom="margin">
              <wp:posOffset>50164</wp:posOffset>
            </wp:positionH>
            <wp:positionV relativeFrom="paragraph">
              <wp:posOffset>8007</wp:posOffset>
            </wp:positionV>
            <wp:extent cx="3005593" cy="3810491"/>
            <wp:effectExtent l="0" t="0" r="4445" b="0"/>
            <wp:wrapTight wrapText="bothSides">
              <wp:wrapPolygon edited="0">
                <wp:start x="0" y="0"/>
                <wp:lineTo x="0" y="21492"/>
                <wp:lineTo x="21495" y="21492"/>
                <wp:lineTo x="21495" y="0"/>
                <wp:lineTo x="0" y="0"/>
              </wp:wrapPolygon>
            </wp:wrapTight>
            <wp:docPr id="94043171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431719"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05980" cy="3810982"/>
                    </a:xfrm>
                    <a:prstGeom prst="rect">
                      <a:avLst/>
                    </a:prstGeom>
                  </pic:spPr>
                </pic:pic>
              </a:graphicData>
            </a:graphic>
            <wp14:sizeRelH relativeFrom="margin">
              <wp14:pctWidth>0</wp14:pctWidth>
            </wp14:sizeRelH>
            <wp14:sizeRelV relativeFrom="margin">
              <wp14:pctHeight>0</wp14:pctHeight>
            </wp14:sizeRelV>
          </wp:anchor>
        </w:drawing>
      </w:r>
    </w:p>
    <w:p w14:paraId="3ACF5D66" w14:textId="77777777" w:rsidR="001C434E" w:rsidRDefault="001C434E" w:rsidP="001C434E">
      <w:pPr>
        <w:pStyle w:val="F2-zkladn"/>
      </w:pPr>
    </w:p>
    <w:p w14:paraId="403EDDF5" w14:textId="77777777" w:rsidR="001C434E" w:rsidRDefault="001C434E" w:rsidP="001C434E">
      <w:pPr>
        <w:pStyle w:val="F2-zkladn"/>
      </w:pPr>
    </w:p>
    <w:p w14:paraId="46D5D9EB" w14:textId="77777777" w:rsidR="001C434E" w:rsidRDefault="001C434E" w:rsidP="001C434E">
      <w:pPr>
        <w:pStyle w:val="F2-zkladn"/>
      </w:pPr>
    </w:p>
    <w:p w14:paraId="1515E504" w14:textId="71165411" w:rsidR="001C434E" w:rsidRDefault="001C434E" w:rsidP="001C434E">
      <w:pPr>
        <w:pStyle w:val="F2-zkladn"/>
      </w:pPr>
    </w:p>
    <w:p w14:paraId="03FF795D" w14:textId="28533826" w:rsidR="001C434E" w:rsidRDefault="001C434E" w:rsidP="001C434E">
      <w:pPr>
        <w:pStyle w:val="F2-zkladn"/>
      </w:pPr>
    </w:p>
    <w:p w14:paraId="7ADF8D05" w14:textId="3137409B" w:rsidR="001C434E" w:rsidRDefault="001C434E" w:rsidP="001C434E">
      <w:pPr>
        <w:pStyle w:val="F2-zkladn"/>
        <w:rPr>
          <w:b/>
          <w:bCs/>
          <w:color w:val="000000"/>
          <w:sz w:val="28"/>
          <w:szCs w:val="28"/>
          <w:lang w:eastAsia="zh-CN"/>
        </w:rPr>
      </w:pPr>
    </w:p>
    <w:p w14:paraId="6D31E768" w14:textId="61A4D58C" w:rsidR="001C434E" w:rsidRDefault="001C434E" w:rsidP="001C434E">
      <w:pPr>
        <w:pStyle w:val="F2-zkladn"/>
        <w:rPr>
          <w:b/>
          <w:bCs/>
          <w:color w:val="000000"/>
          <w:sz w:val="28"/>
          <w:szCs w:val="28"/>
          <w:lang w:eastAsia="zh-CN"/>
        </w:rPr>
      </w:pPr>
    </w:p>
    <w:p w14:paraId="2E8784E2" w14:textId="77777777" w:rsidR="001C434E" w:rsidRDefault="001C434E" w:rsidP="001C434E">
      <w:pPr>
        <w:pStyle w:val="F2-zkladn"/>
        <w:rPr>
          <w:b/>
          <w:bCs/>
          <w:color w:val="000000"/>
          <w:sz w:val="28"/>
          <w:szCs w:val="28"/>
          <w:lang w:eastAsia="zh-CN"/>
        </w:rPr>
      </w:pPr>
    </w:p>
    <w:p w14:paraId="60A50725" w14:textId="77777777" w:rsidR="001C434E" w:rsidRDefault="001C434E" w:rsidP="001C434E">
      <w:pPr>
        <w:pStyle w:val="F2-zkladn"/>
        <w:rPr>
          <w:b/>
          <w:bCs/>
          <w:color w:val="000000"/>
          <w:sz w:val="28"/>
          <w:szCs w:val="28"/>
          <w:lang w:eastAsia="zh-CN"/>
        </w:rPr>
      </w:pPr>
    </w:p>
    <w:p w14:paraId="00E7AA54" w14:textId="77777777" w:rsidR="009D3E95" w:rsidRPr="009D3E95" w:rsidRDefault="009D3E95" w:rsidP="001C434E">
      <w:pPr>
        <w:pStyle w:val="F2-zkladn"/>
        <w:rPr>
          <w:rFonts w:ascii="Invesco Interstate Light" w:eastAsiaTheme="minorEastAsia" w:hAnsi="Invesco Interstate Light" w:cs="Times New Roman"/>
          <w:sz w:val="22"/>
          <w:szCs w:val="22"/>
          <w:lang w:eastAsia="de-DE"/>
        </w:rPr>
      </w:pPr>
    </w:p>
    <w:p w14:paraId="360FF633" w14:textId="77777777" w:rsidR="001C434E" w:rsidRDefault="001C434E" w:rsidP="00C678A3">
      <w:pPr>
        <w:spacing w:line="276" w:lineRule="auto"/>
        <w:rPr>
          <w:rFonts w:ascii="Invesco Interstate Light" w:eastAsiaTheme="minorEastAsia" w:hAnsi="Invesco Interstate Light"/>
          <w:sz w:val="22"/>
          <w:szCs w:val="22"/>
        </w:rPr>
      </w:pPr>
      <w:r w:rsidRPr="00F23677">
        <w:rPr>
          <w:rFonts w:ascii="Invesco Interstate Light" w:eastAsiaTheme="minorEastAsia" w:hAnsi="Invesco Interstate Light"/>
          <w:i/>
          <w:iCs/>
          <w:sz w:val="22"/>
          <w:szCs w:val="22"/>
        </w:rPr>
        <w:lastRenderedPageBreak/>
        <w:t>„Rallye, kterou táhly technologie na americkém akciovém trhu, je opak toho, co jsem očekával, když jsem něco naposledy publikoval na téma amerických akcií a ocenění v únoru 2024,“</w:t>
      </w:r>
      <w:r w:rsidRPr="009D3E95">
        <w:rPr>
          <w:rFonts w:ascii="Invesco Interstate Light" w:eastAsiaTheme="minorEastAsia" w:hAnsi="Invesco Interstate Light"/>
          <w:sz w:val="22"/>
          <w:szCs w:val="22"/>
        </w:rPr>
        <w:t xml:space="preserve"> upřesňuje </w:t>
      </w:r>
      <w:proofErr w:type="spellStart"/>
      <w:r w:rsidRPr="009D3E95">
        <w:rPr>
          <w:rFonts w:ascii="Invesco Interstate Light" w:eastAsiaTheme="minorEastAsia" w:hAnsi="Invesco Interstate Light"/>
          <w:sz w:val="22"/>
          <w:szCs w:val="22"/>
        </w:rPr>
        <w:t>Adrás</w:t>
      </w:r>
      <w:proofErr w:type="spellEnd"/>
      <w:r w:rsidRPr="009D3E95">
        <w:rPr>
          <w:rFonts w:ascii="Invesco Interstate Light" w:eastAsiaTheme="minorEastAsia" w:hAnsi="Invesco Interstate Light"/>
          <w:sz w:val="22"/>
          <w:szCs w:val="22"/>
        </w:rPr>
        <w:t xml:space="preserve"> </w:t>
      </w:r>
      <w:proofErr w:type="spellStart"/>
      <w:r w:rsidRPr="009D3E95">
        <w:rPr>
          <w:rFonts w:ascii="Invesco Interstate Light" w:eastAsiaTheme="minorEastAsia" w:hAnsi="Invesco Interstate Light"/>
          <w:sz w:val="22"/>
          <w:szCs w:val="22"/>
        </w:rPr>
        <w:t>Vig</w:t>
      </w:r>
      <w:proofErr w:type="spellEnd"/>
      <w:r w:rsidRPr="009D3E95">
        <w:rPr>
          <w:rFonts w:ascii="Invesco Interstate Light" w:eastAsiaTheme="minorEastAsia" w:hAnsi="Invesco Interstate Light"/>
          <w:sz w:val="22"/>
          <w:szCs w:val="22"/>
        </w:rPr>
        <w:t xml:space="preserve">.  Tyto valuace jsou nyní ještě bohatší a nám říkají totéž, co loni: Americké akcie jsou ve srovnání s historickými daty drahé, bez ohledu na použitou metriku ocenění. Oblíbený ukazatel, poměr cyklicky očištěné ceny k zisku (CAPE), činil na konci února 2025 41,1× (s použitím indexu </w:t>
      </w:r>
      <w:proofErr w:type="spellStart"/>
      <w:r w:rsidRPr="009D3E95">
        <w:rPr>
          <w:rFonts w:ascii="Invesco Interstate Light" w:eastAsiaTheme="minorEastAsia" w:hAnsi="Invesco Interstate Light"/>
          <w:sz w:val="22"/>
          <w:szCs w:val="22"/>
        </w:rPr>
        <w:t>Datastream</w:t>
      </w:r>
      <w:proofErr w:type="spellEnd"/>
      <w:r w:rsidRPr="009D3E95">
        <w:rPr>
          <w:rFonts w:ascii="Invesco Interstate Light" w:eastAsiaTheme="minorEastAsia" w:hAnsi="Invesco Interstate Light"/>
          <w:sz w:val="22"/>
          <w:szCs w:val="22"/>
        </w:rPr>
        <w:t xml:space="preserve"> US </w:t>
      </w:r>
      <w:proofErr w:type="spellStart"/>
      <w:r w:rsidRPr="009D3E95">
        <w:rPr>
          <w:rFonts w:ascii="Invesco Interstate Light" w:eastAsiaTheme="minorEastAsia" w:hAnsi="Invesco Interstate Light"/>
          <w:sz w:val="22"/>
          <w:szCs w:val="22"/>
        </w:rPr>
        <w:t>Total</w:t>
      </w:r>
      <w:proofErr w:type="spellEnd"/>
      <w:r w:rsidRPr="009D3E95">
        <w:rPr>
          <w:rFonts w:ascii="Invesco Interstate Light" w:eastAsiaTheme="minorEastAsia" w:hAnsi="Invesco Interstate Light"/>
          <w:sz w:val="22"/>
          <w:szCs w:val="22"/>
        </w:rPr>
        <w:t xml:space="preserve"> Market Index), zatímco </w:t>
      </w:r>
      <w:proofErr w:type="spellStart"/>
      <w:r w:rsidRPr="009D3E95">
        <w:rPr>
          <w:rFonts w:ascii="Invesco Interstate Light" w:eastAsiaTheme="minorEastAsia" w:hAnsi="Invesco Interstate Light"/>
          <w:sz w:val="22"/>
          <w:szCs w:val="22"/>
        </w:rPr>
        <w:t>Shillerovo</w:t>
      </w:r>
      <w:proofErr w:type="spellEnd"/>
      <w:r w:rsidRPr="009D3E95">
        <w:rPr>
          <w:rFonts w:ascii="Invesco Interstate Light" w:eastAsiaTheme="minorEastAsia" w:hAnsi="Invesco Interstate Light"/>
          <w:sz w:val="22"/>
          <w:szCs w:val="22"/>
        </w:rPr>
        <w:t xml:space="preserve"> P/E (jeho inflačně očištěný ekvivalent) bylo podle našich odhadů na úrovni 37,2×.</w:t>
      </w:r>
    </w:p>
    <w:p w14:paraId="05897B83" w14:textId="77777777" w:rsidR="000942AD" w:rsidRPr="009D3E95" w:rsidRDefault="000942AD" w:rsidP="00C678A3">
      <w:pPr>
        <w:spacing w:line="276" w:lineRule="auto"/>
        <w:rPr>
          <w:rFonts w:ascii="Invesco Interstate Light" w:eastAsiaTheme="minorEastAsia" w:hAnsi="Invesco Interstate Light"/>
          <w:sz w:val="22"/>
          <w:szCs w:val="22"/>
        </w:rPr>
      </w:pPr>
    </w:p>
    <w:p w14:paraId="1D64E19D" w14:textId="77777777" w:rsidR="001C434E" w:rsidRDefault="001C434E" w:rsidP="001C434E">
      <w:pPr>
        <w:pStyle w:val="F2-zkladn"/>
      </w:pPr>
      <w:r w:rsidRPr="00790751">
        <w:rPr>
          <w:noProof/>
        </w:rPr>
        <w:drawing>
          <wp:anchor distT="0" distB="0" distL="114300" distR="114300" simplePos="0" relativeHeight="251660288" behindDoc="0" locked="0" layoutInCell="1" allowOverlap="1" wp14:anchorId="12563623" wp14:editId="1067A938">
            <wp:simplePos x="0" y="0"/>
            <wp:positionH relativeFrom="margin">
              <wp:align>left</wp:align>
            </wp:positionH>
            <wp:positionV relativeFrom="paragraph">
              <wp:posOffset>155321</wp:posOffset>
            </wp:positionV>
            <wp:extent cx="3724275" cy="2076450"/>
            <wp:effectExtent l="0" t="0" r="9525" b="0"/>
            <wp:wrapSquare wrapText="bothSides"/>
            <wp:docPr id="54173553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735533" name=""/>
                    <pic:cNvPicPr/>
                  </pic:nvPicPr>
                  <pic:blipFill>
                    <a:blip r:embed="rId12">
                      <a:extLst>
                        <a:ext uri="{28A0092B-C50C-407E-A947-70E740481C1C}">
                          <a14:useLocalDpi xmlns:a14="http://schemas.microsoft.com/office/drawing/2010/main" val="0"/>
                        </a:ext>
                      </a:extLst>
                    </a:blip>
                    <a:stretch>
                      <a:fillRect/>
                    </a:stretch>
                  </pic:blipFill>
                  <pic:spPr>
                    <a:xfrm>
                      <a:off x="0" y="0"/>
                      <a:ext cx="3724275" cy="2076450"/>
                    </a:xfrm>
                    <a:prstGeom prst="rect">
                      <a:avLst/>
                    </a:prstGeom>
                  </pic:spPr>
                </pic:pic>
              </a:graphicData>
            </a:graphic>
            <wp14:sizeRelH relativeFrom="margin">
              <wp14:pctWidth>0</wp14:pctWidth>
            </wp14:sizeRelH>
            <wp14:sizeRelV relativeFrom="margin">
              <wp14:pctHeight>0</wp14:pctHeight>
            </wp14:sizeRelV>
          </wp:anchor>
        </w:drawing>
      </w:r>
    </w:p>
    <w:p w14:paraId="42300AC5" w14:textId="77777777" w:rsidR="001C434E" w:rsidRDefault="001C434E" w:rsidP="001C434E">
      <w:pPr>
        <w:pStyle w:val="F2-zkladn"/>
      </w:pPr>
    </w:p>
    <w:p w14:paraId="4819ED06" w14:textId="77777777" w:rsidR="001C434E" w:rsidRDefault="001C434E" w:rsidP="001C434E">
      <w:pPr>
        <w:pStyle w:val="F2-zkladn"/>
      </w:pPr>
    </w:p>
    <w:p w14:paraId="25A6E7A2" w14:textId="77777777" w:rsidR="001C434E" w:rsidRDefault="001C434E" w:rsidP="001C434E">
      <w:pPr>
        <w:pStyle w:val="F2-zkladn"/>
      </w:pPr>
    </w:p>
    <w:p w14:paraId="0F10ED46" w14:textId="77777777" w:rsidR="001C434E" w:rsidRDefault="001C434E" w:rsidP="001C434E">
      <w:pPr>
        <w:pStyle w:val="F2-zkladn"/>
      </w:pPr>
    </w:p>
    <w:p w14:paraId="176B4B7B" w14:textId="77777777" w:rsidR="001C434E" w:rsidRDefault="001C434E" w:rsidP="001C434E">
      <w:pPr>
        <w:pStyle w:val="F2-zkladn"/>
      </w:pPr>
    </w:p>
    <w:p w14:paraId="0A3B783E" w14:textId="77777777" w:rsidR="001C434E" w:rsidRPr="009D3E95" w:rsidRDefault="001C434E" w:rsidP="001C434E">
      <w:pPr>
        <w:pStyle w:val="F2-zkladn"/>
        <w:rPr>
          <w:rFonts w:ascii="Invesco Interstate Light" w:eastAsiaTheme="minorEastAsia" w:hAnsi="Invesco Interstate Light" w:cs="Times New Roman"/>
          <w:sz w:val="22"/>
          <w:szCs w:val="22"/>
          <w:lang w:eastAsia="de-DE"/>
        </w:rPr>
      </w:pPr>
    </w:p>
    <w:p w14:paraId="26808BBC" w14:textId="77777777" w:rsidR="001C434E" w:rsidRDefault="001C434E" w:rsidP="00C678A3">
      <w:pPr>
        <w:spacing w:line="276" w:lineRule="auto"/>
        <w:jc w:val="both"/>
        <w:rPr>
          <w:rFonts w:ascii="Invesco Interstate Light" w:eastAsiaTheme="minorEastAsia" w:hAnsi="Invesco Interstate Light"/>
          <w:sz w:val="22"/>
          <w:szCs w:val="22"/>
        </w:rPr>
      </w:pPr>
      <w:r w:rsidRPr="009D3E95">
        <w:rPr>
          <w:rFonts w:ascii="Invesco Interstate Light" w:eastAsiaTheme="minorEastAsia" w:hAnsi="Invesco Interstate Light"/>
          <w:sz w:val="22"/>
          <w:szCs w:val="22"/>
        </w:rPr>
        <w:t xml:space="preserve">Pro představu, tyto poměry byly vyšší pouze v době extrémních tržních událostí: kolem „technologické bubliny“ v letech 1998 až 2002 a v době nedávného postpandemického vrcholu trhu v letech 2020 až 2022. Od ledna 1983 (první dostupný datový bod) byl CAPE vyšší pouze v 6 % a </w:t>
      </w:r>
      <w:proofErr w:type="spellStart"/>
      <w:r w:rsidRPr="009D3E95">
        <w:rPr>
          <w:rFonts w:ascii="Invesco Interstate Light" w:eastAsiaTheme="minorEastAsia" w:hAnsi="Invesco Interstate Light"/>
          <w:sz w:val="22"/>
          <w:szCs w:val="22"/>
        </w:rPr>
        <w:t>Shillerovo</w:t>
      </w:r>
      <w:proofErr w:type="spellEnd"/>
      <w:r w:rsidRPr="009D3E95">
        <w:rPr>
          <w:rFonts w:ascii="Invesco Interstate Light" w:eastAsiaTheme="minorEastAsia" w:hAnsi="Invesco Interstate Light"/>
          <w:sz w:val="22"/>
          <w:szCs w:val="22"/>
        </w:rPr>
        <w:t xml:space="preserve"> P/E v 8 % případů (při použití měsíčních dat).  </w:t>
      </w:r>
    </w:p>
    <w:p w14:paraId="0E11C71C" w14:textId="77777777" w:rsidR="009D3E95" w:rsidRPr="009D3E95" w:rsidRDefault="009D3E95" w:rsidP="00C678A3">
      <w:pPr>
        <w:spacing w:line="276" w:lineRule="auto"/>
        <w:jc w:val="both"/>
        <w:rPr>
          <w:rFonts w:ascii="Invesco Interstate Light" w:eastAsiaTheme="minorEastAsia" w:hAnsi="Invesco Interstate Light"/>
          <w:sz w:val="22"/>
          <w:szCs w:val="22"/>
        </w:rPr>
      </w:pPr>
    </w:p>
    <w:p w14:paraId="2C7D8164" w14:textId="77777777" w:rsidR="001C434E" w:rsidRDefault="001C434E" w:rsidP="00C678A3">
      <w:pPr>
        <w:spacing w:line="276" w:lineRule="auto"/>
        <w:jc w:val="both"/>
        <w:rPr>
          <w:rFonts w:ascii="Invesco Interstate Light" w:eastAsiaTheme="minorEastAsia" w:hAnsi="Invesco Interstate Light"/>
          <w:sz w:val="22"/>
          <w:szCs w:val="22"/>
        </w:rPr>
      </w:pPr>
      <w:r w:rsidRPr="009D3E95">
        <w:rPr>
          <w:rFonts w:ascii="Invesco Interstate Light" w:eastAsiaTheme="minorEastAsia" w:hAnsi="Invesco Interstate Light"/>
          <w:sz w:val="22"/>
          <w:szCs w:val="22"/>
        </w:rPr>
        <w:t xml:space="preserve">Logickým argumentem by samozřejmě bylo, že se používají špatné nástroje k určení výnosu akcií (nebo alespoň jejich směr) v relativně krátkém investičním horizontu. Skutečně, vztah mezi CAPE a jednoletými forwardovými výnosy indexu S&amp;P 500 v letech 1983 až 2024 je prakticky nulový. Tato prediktivní síla se však zlepšuje při použití desetiletých forwardových výnosů na hodnotu R2 ve výši 0,78 (mezi lety 1983 a 2015). Podobně silný vztah existuje i při použití </w:t>
      </w:r>
      <w:proofErr w:type="spellStart"/>
      <w:r w:rsidRPr="009D3E95">
        <w:rPr>
          <w:rFonts w:ascii="Invesco Interstate Light" w:eastAsiaTheme="minorEastAsia" w:hAnsi="Invesco Interstate Light"/>
          <w:sz w:val="22"/>
          <w:szCs w:val="22"/>
        </w:rPr>
        <w:t>Shillerova</w:t>
      </w:r>
      <w:proofErr w:type="spellEnd"/>
      <w:r w:rsidRPr="009D3E95">
        <w:rPr>
          <w:rFonts w:ascii="Invesco Interstate Light" w:eastAsiaTheme="minorEastAsia" w:hAnsi="Invesco Interstate Light"/>
          <w:sz w:val="22"/>
          <w:szCs w:val="22"/>
        </w:rPr>
        <w:t xml:space="preserve"> P/E ve stejném období (i když R2 klesá na 0,10 při použití celé historie od roku 1881).  I letmý pohled odhalí, že ocenění se v 80. letech 20. století zřejmě posunulo výše: z průměrné hodnoty 15,6x mezi lety 1953 a 1983 na 24,5x mezi lety 1983 a únorem 2025. To, co bylo v prvních 100 letech historie </w:t>
      </w:r>
      <w:proofErr w:type="spellStart"/>
      <w:r w:rsidRPr="009D3E95">
        <w:rPr>
          <w:rFonts w:ascii="Invesco Interstate Light" w:eastAsiaTheme="minorEastAsia" w:hAnsi="Invesco Interstate Light"/>
          <w:sz w:val="22"/>
          <w:szCs w:val="22"/>
        </w:rPr>
        <w:t>Shillerova</w:t>
      </w:r>
      <w:proofErr w:type="spellEnd"/>
      <w:r w:rsidRPr="009D3E95">
        <w:rPr>
          <w:rFonts w:ascii="Invesco Interstate Light" w:eastAsiaTheme="minorEastAsia" w:hAnsi="Invesco Interstate Light"/>
          <w:sz w:val="22"/>
          <w:szCs w:val="22"/>
        </w:rPr>
        <w:t xml:space="preserve"> P/E považováno za extrémní hodnoty dosažené až v roce 1929, se stalo „normálnějším“. Proto bychom se za předpokladu, že nedojde ke strukturální změně ve směru inflace a úrokových sazeb, měli při předpovědi dlouhodobých výnosů indexu S&amp;P 500 spolehnout na model po roce 1983.</w:t>
      </w:r>
    </w:p>
    <w:p w14:paraId="1854F466" w14:textId="77777777" w:rsidR="009D3E95" w:rsidRPr="009D3E95" w:rsidRDefault="009D3E95" w:rsidP="001C434E">
      <w:pPr>
        <w:jc w:val="both"/>
        <w:rPr>
          <w:rFonts w:ascii="Invesco Interstate Light" w:eastAsiaTheme="minorEastAsia" w:hAnsi="Invesco Interstate Light"/>
          <w:sz w:val="22"/>
          <w:szCs w:val="22"/>
        </w:rPr>
      </w:pPr>
    </w:p>
    <w:p w14:paraId="65D9A7DA" w14:textId="77777777" w:rsidR="001C434E" w:rsidRDefault="001C434E" w:rsidP="001C434E">
      <w:pPr>
        <w:pStyle w:val="F2-zkladn"/>
        <w:rPr>
          <w:b/>
          <w:bCs/>
          <w:color w:val="000000"/>
          <w:sz w:val="28"/>
          <w:szCs w:val="28"/>
          <w:lang w:eastAsia="zh-CN"/>
        </w:rPr>
      </w:pPr>
      <w:r w:rsidRPr="00625799">
        <w:rPr>
          <w:noProof/>
        </w:rPr>
        <w:lastRenderedPageBreak/>
        <w:drawing>
          <wp:anchor distT="0" distB="0" distL="114300" distR="114300" simplePos="0" relativeHeight="251661312" behindDoc="1" locked="0" layoutInCell="1" allowOverlap="1" wp14:anchorId="73D38E46" wp14:editId="160617D5">
            <wp:simplePos x="0" y="0"/>
            <wp:positionH relativeFrom="column">
              <wp:posOffset>19685</wp:posOffset>
            </wp:positionH>
            <wp:positionV relativeFrom="paragraph">
              <wp:posOffset>115570</wp:posOffset>
            </wp:positionV>
            <wp:extent cx="4017010" cy="1922145"/>
            <wp:effectExtent l="0" t="0" r="2540" b="1905"/>
            <wp:wrapTight wrapText="bothSides">
              <wp:wrapPolygon edited="0">
                <wp:start x="0" y="0"/>
                <wp:lineTo x="0" y="21407"/>
                <wp:lineTo x="21511" y="21407"/>
                <wp:lineTo x="21511" y="0"/>
                <wp:lineTo x="0" y="0"/>
              </wp:wrapPolygon>
            </wp:wrapTight>
            <wp:docPr id="104163350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633502" name=""/>
                    <pic:cNvPicPr/>
                  </pic:nvPicPr>
                  <pic:blipFill>
                    <a:blip r:embed="rId13">
                      <a:extLst>
                        <a:ext uri="{28A0092B-C50C-407E-A947-70E740481C1C}">
                          <a14:useLocalDpi xmlns:a14="http://schemas.microsoft.com/office/drawing/2010/main" val="0"/>
                        </a:ext>
                      </a:extLst>
                    </a:blip>
                    <a:stretch>
                      <a:fillRect/>
                    </a:stretch>
                  </pic:blipFill>
                  <pic:spPr>
                    <a:xfrm>
                      <a:off x="0" y="0"/>
                      <a:ext cx="4017010" cy="1922145"/>
                    </a:xfrm>
                    <a:prstGeom prst="rect">
                      <a:avLst/>
                    </a:prstGeom>
                  </pic:spPr>
                </pic:pic>
              </a:graphicData>
            </a:graphic>
            <wp14:sizeRelH relativeFrom="margin">
              <wp14:pctWidth>0</wp14:pctWidth>
            </wp14:sizeRelH>
            <wp14:sizeRelV relativeFrom="margin">
              <wp14:pctHeight>0</wp14:pctHeight>
            </wp14:sizeRelV>
          </wp:anchor>
        </w:drawing>
      </w:r>
    </w:p>
    <w:p w14:paraId="6A093DD2" w14:textId="77777777" w:rsidR="001C434E" w:rsidRDefault="001C434E" w:rsidP="001C434E">
      <w:pPr>
        <w:pStyle w:val="F2-zkladn"/>
        <w:rPr>
          <w:b/>
          <w:bCs/>
          <w:color w:val="000000"/>
          <w:sz w:val="28"/>
          <w:szCs w:val="28"/>
          <w:lang w:eastAsia="zh-CN"/>
        </w:rPr>
      </w:pPr>
    </w:p>
    <w:p w14:paraId="7F958324" w14:textId="77777777" w:rsidR="001C434E" w:rsidRDefault="001C434E" w:rsidP="001C434E">
      <w:pPr>
        <w:pStyle w:val="F2-zkladn"/>
        <w:rPr>
          <w:b/>
          <w:bCs/>
          <w:color w:val="000000"/>
          <w:sz w:val="28"/>
          <w:szCs w:val="28"/>
          <w:lang w:eastAsia="zh-CN"/>
        </w:rPr>
      </w:pPr>
    </w:p>
    <w:p w14:paraId="25D504D3" w14:textId="77777777" w:rsidR="001C434E" w:rsidRDefault="001C434E" w:rsidP="001C434E">
      <w:pPr>
        <w:pStyle w:val="F2-zkladn"/>
        <w:rPr>
          <w:b/>
          <w:bCs/>
          <w:color w:val="000000"/>
          <w:sz w:val="28"/>
          <w:szCs w:val="28"/>
          <w:lang w:eastAsia="zh-CN"/>
        </w:rPr>
      </w:pPr>
    </w:p>
    <w:p w14:paraId="7826D928" w14:textId="77777777" w:rsidR="001C434E" w:rsidRDefault="001C434E" w:rsidP="001C434E">
      <w:pPr>
        <w:pStyle w:val="F2-zkladn"/>
        <w:rPr>
          <w:b/>
          <w:bCs/>
          <w:color w:val="000000"/>
          <w:sz w:val="28"/>
          <w:szCs w:val="28"/>
          <w:lang w:eastAsia="zh-CN"/>
        </w:rPr>
      </w:pPr>
    </w:p>
    <w:p w14:paraId="0565D0D1" w14:textId="77777777" w:rsidR="001C434E" w:rsidRDefault="001C434E" w:rsidP="001C434E">
      <w:pPr>
        <w:pStyle w:val="F2-zkladn"/>
        <w:rPr>
          <w:b/>
          <w:bCs/>
          <w:color w:val="000000"/>
          <w:sz w:val="28"/>
          <w:szCs w:val="28"/>
          <w:lang w:eastAsia="zh-CN"/>
        </w:rPr>
      </w:pPr>
    </w:p>
    <w:p w14:paraId="7E9EC421" w14:textId="77777777" w:rsidR="009D3E95" w:rsidRDefault="009D3E95" w:rsidP="001C434E">
      <w:pPr>
        <w:pStyle w:val="F2-zkladn"/>
        <w:rPr>
          <w:b/>
          <w:bCs/>
          <w:color w:val="000000"/>
          <w:sz w:val="28"/>
          <w:szCs w:val="28"/>
          <w:lang w:eastAsia="zh-CN"/>
        </w:rPr>
      </w:pPr>
    </w:p>
    <w:p w14:paraId="085A0440" w14:textId="77777777" w:rsidR="00E87C41" w:rsidRDefault="001C434E" w:rsidP="00C678A3">
      <w:pPr>
        <w:spacing w:line="276" w:lineRule="auto"/>
        <w:jc w:val="both"/>
        <w:rPr>
          <w:rFonts w:ascii="Invesco Interstate Light" w:eastAsiaTheme="minorEastAsia" w:hAnsi="Invesco Interstate Light"/>
          <w:i/>
          <w:iCs/>
          <w:sz w:val="22"/>
          <w:szCs w:val="22"/>
        </w:rPr>
      </w:pPr>
      <w:r w:rsidRPr="00725F1B">
        <w:rPr>
          <w:rFonts w:ascii="Invesco Interstate Light" w:eastAsiaTheme="minorEastAsia" w:hAnsi="Invesco Interstate Light"/>
          <w:sz w:val="22"/>
          <w:szCs w:val="22"/>
        </w:rPr>
        <w:t xml:space="preserve">Zdá se, že oba ukazatele cyklicky očištěného poměru P/E se pohybují v blízkosti historických maxim, a proto lze předpokládat, že ocenění by mohlo dlouhodobě omezit výnosy amerických akcií. </w:t>
      </w:r>
      <w:r w:rsidRPr="00E31744">
        <w:rPr>
          <w:rFonts w:ascii="Invesco Interstate Light" w:eastAsiaTheme="minorEastAsia" w:hAnsi="Invesco Interstate Light"/>
          <w:i/>
          <w:iCs/>
          <w:sz w:val="22"/>
          <w:szCs w:val="22"/>
        </w:rPr>
        <w:t xml:space="preserve">„Pokud přetrvají vztahy jako v minulosti, můj model naznačuje, že roční kapitálové výnosy v příštích 10 letech by mohly být přibližně 0,5 %, což je nejen pod dlouhodobým průměrem 4,8 % (od roku 1871 na základě </w:t>
      </w:r>
      <w:proofErr w:type="spellStart"/>
      <w:r w:rsidRPr="00E31744">
        <w:rPr>
          <w:rFonts w:ascii="Invesco Interstate Light" w:eastAsiaTheme="minorEastAsia" w:hAnsi="Invesco Interstate Light"/>
          <w:i/>
          <w:iCs/>
          <w:sz w:val="22"/>
          <w:szCs w:val="22"/>
        </w:rPr>
        <w:t>Shillerových</w:t>
      </w:r>
      <w:proofErr w:type="spellEnd"/>
      <w:r w:rsidRPr="00E31744">
        <w:rPr>
          <w:rFonts w:ascii="Invesco Interstate Light" w:eastAsiaTheme="minorEastAsia" w:hAnsi="Invesco Interstate Light"/>
          <w:i/>
          <w:iCs/>
          <w:sz w:val="22"/>
          <w:szCs w:val="22"/>
        </w:rPr>
        <w:t xml:space="preserve"> údajů), ale i pod úrovní výnosů z hotovosti (za předpokladu, že úrokové sazby zůstanou nad nulou), i když výrazně vyšší než výnosy -18 %, které naznačuje </w:t>
      </w:r>
      <w:r w:rsidR="00E87C41">
        <w:rPr>
          <w:rFonts w:ascii="Invesco Interstate Light" w:eastAsiaTheme="minorEastAsia" w:hAnsi="Invesco Interstate Light"/>
          <w:i/>
          <w:iCs/>
          <w:sz w:val="22"/>
          <w:szCs w:val="22"/>
        </w:rPr>
        <w:t>graf výše.</w:t>
      </w:r>
    </w:p>
    <w:p w14:paraId="2E088A04" w14:textId="04994E35" w:rsidR="001C434E" w:rsidRPr="00E31744" w:rsidRDefault="00E87C41" w:rsidP="00C678A3">
      <w:pPr>
        <w:spacing w:line="276" w:lineRule="auto"/>
        <w:jc w:val="both"/>
        <w:rPr>
          <w:rFonts w:ascii="Invesco Interstate Light" w:eastAsiaTheme="minorEastAsia" w:hAnsi="Invesco Interstate Light"/>
          <w:i/>
          <w:iCs/>
          <w:sz w:val="22"/>
          <w:szCs w:val="22"/>
        </w:rPr>
      </w:pPr>
      <w:r w:rsidRPr="00E31744">
        <w:rPr>
          <w:rFonts w:ascii="Invesco Interstate Light" w:eastAsiaTheme="minorEastAsia" w:hAnsi="Invesco Interstate Light"/>
          <w:i/>
          <w:iCs/>
          <w:sz w:val="22"/>
          <w:szCs w:val="22"/>
        </w:rPr>
        <w:t xml:space="preserve"> </w:t>
      </w:r>
    </w:p>
    <w:p w14:paraId="18A375C0" w14:textId="009BE80D" w:rsidR="001C434E" w:rsidRPr="00725F1B" w:rsidRDefault="001C434E" w:rsidP="00C678A3">
      <w:pPr>
        <w:spacing w:line="276" w:lineRule="auto"/>
        <w:jc w:val="both"/>
        <w:rPr>
          <w:rFonts w:ascii="Invesco Interstate Light" w:eastAsiaTheme="minorEastAsia" w:hAnsi="Invesco Interstate Light"/>
          <w:sz w:val="22"/>
          <w:szCs w:val="22"/>
        </w:rPr>
      </w:pPr>
      <w:r w:rsidRPr="00E31744">
        <w:rPr>
          <w:rFonts w:ascii="Invesco Interstate Light" w:eastAsiaTheme="minorEastAsia" w:hAnsi="Invesco Interstate Light"/>
          <w:i/>
          <w:iCs/>
          <w:sz w:val="22"/>
          <w:szCs w:val="22"/>
        </w:rPr>
        <w:t>Za předpokladu, že dividendový výnos indexu S&amp;P 500 zůstane blízko desetiletého průměru 1,8 %, znamenal by 0,5% kapitálový výnos celkový výnos přibližně 2,3 %. To je zklamání ve srovnání s celkovým ročním výnosem 9,3 % od roku 1871 a 11,7 % za posledních deset let,“</w:t>
      </w:r>
      <w:r w:rsidRPr="00725F1B">
        <w:rPr>
          <w:rFonts w:ascii="Invesco Interstate Light" w:eastAsiaTheme="minorEastAsia" w:hAnsi="Invesco Interstate Light"/>
          <w:sz w:val="22"/>
          <w:szCs w:val="22"/>
        </w:rPr>
        <w:t xml:space="preserve"> popisuje svou analýzu András </w:t>
      </w:r>
      <w:proofErr w:type="spellStart"/>
      <w:r w:rsidRPr="00725F1B">
        <w:rPr>
          <w:rFonts w:ascii="Invesco Interstate Light" w:eastAsiaTheme="minorEastAsia" w:hAnsi="Invesco Interstate Light"/>
          <w:sz w:val="22"/>
          <w:szCs w:val="22"/>
        </w:rPr>
        <w:t>Vig</w:t>
      </w:r>
      <w:proofErr w:type="spellEnd"/>
      <w:r w:rsidRPr="00725F1B">
        <w:rPr>
          <w:rFonts w:ascii="Invesco Interstate Light" w:eastAsiaTheme="minorEastAsia" w:hAnsi="Invesco Interstate Light"/>
          <w:sz w:val="22"/>
          <w:szCs w:val="22"/>
        </w:rPr>
        <w:t xml:space="preserve">. Pokud by dividendový výnos zůstal blízko desetiletého průměru, zvýšení budoucích kapitálových výnosů potřebné k dosažení celkového výnosu 9,2 % by vyžadovalo pokles indexu S&amp;P 500 o 34 % oproti průměru z února 2025, což by znamenalo pokles </w:t>
      </w:r>
      <w:proofErr w:type="spellStart"/>
      <w:r w:rsidRPr="00725F1B">
        <w:rPr>
          <w:rFonts w:ascii="Invesco Interstate Light" w:eastAsiaTheme="minorEastAsia" w:hAnsi="Invesco Interstate Light"/>
          <w:sz w:val="22"/>
          <w:szCs w:val="22"/>
        </w:rPr>
        <w:t>Shillerova</w:t>
      </w:r>
      <w:proofErr w:type="spellEnd"/>
      <w:r w:rsidRPr="00725F1B">
        <w:rPr>
          <w:rFonts w:ascii="Invesco Interstate Light" w:eastAsiaTheme="minorEastAsia" w:hAnsi="Invesco Interstate Light"/>
          <w:sz w:val="22"/>
          <w:szCs w:val="22"/>
        </w:rPr>
        <w:t xml:space="preserve"> P/E na 24,5násobek (na základě historického vztahu mezi oceněním a výnosy od roku 1983).  V oblasti akcií nevypadá žádný jiný region na základě CAPE tak nadhodnocený.  </w:t>
      </w:r>
    </w:p>
    <w:p w14:paraId="51E9065D" w14:textId="77777777" w:rsidR="001C434E" w:rsidRDefault="001C434E" w:rsidP="001C434E">
      <w:pPr>
        <w:pStyle w:val="F2-zkladn"/>
        <w:rPr>
          <w:b/>
          <w:bCs/>
          <w:color w:val="000000"/>
          <w:sz w:val="28"/>
          <w:szCs w:val="28"/>
          <w:lang w:eastAsia="zh-CN"/>
        </w:rPr>
      </w:pPr>
    </w:p>
    <w:p w14:paraId="73A5FFCA" w14:textId="77777777" w:rsidR="001C434E" w:rsidRDefault="001C434E" w:rsidP="001C434E">
      <w:pPr>
        <w:pStyle w:val="F2-zkladn"/>
        <w:rPr>
          <w:b/>
          <w:bCs/>
          <w:color w:val="000000"/>
          <w:sz w:val="28"/>
          <w:szCs w:val="28"/>
          <w:lang w:eastAsia="zh-CN"/>
        </w:rPr>
      </w:pPr>
    </w:p>
    <w:p w14:paraId="4252D8B3" w14:textId="77777777" w:rsidR="001C434E" w:rsidRDefault="001C434E" w:rsidP="001C434E">
      <w:pPr>
        <w:pStyle w:val="F2-zkladn"/>
        <w:rPr>
          <w:b/>
          <w:bCs/>
          <w:color w:val="000000"/>
          <w:sz w:val="28"/>
          <w:szCs w:val="28"/>
          <w:lang w:eastAsia="zh-CN"/>
        </w:rPr>
      </w:pPr>
      <w:r w:rsidRPr="00B62208">
        <w:rPr>
          <w:noProof/>
        </w:rPr>
        <w:drawing>
          <wp:anchor distT="0" distB="0" distL="114300" distR="114300" simplePos="0" relativeHeight="251662336" behindDoc="1" locked="0" layoutInCell="1" allowOverlap="1" wp14:anchorId="02CCF85C" wp14:editId="0C609AD2">
            <wp:simplePos x="0" y="0"/>
            <wp:positionH relativeFrom="column">
              <wp:posOffset>293878</wp:posOffset>
            </wp:positionH>
            <wp:positionV relativeFrom="paragraph">
              <wp:posOffset>127</wp:posOffset>
            </wp:positionV>
            <wp:extent cx="3831285" cy="1935069"/>
            <wp:effectExtent l="0" t="0" r="0" b="8255"/>
            <wp:wrapTight wrapText="bothSides">
              <wp:wrapPolygon edited="0">
                <wp:start x="0" y="0"/>
                <wp:lineTo x="0" y="21479"/>
                <wp:lineTo x="21482" y="21479"/>
                <wp:lineTo x="21482" y="0"/>
                <wp:lineTo x="0" y="0"/>
              </wp:wrapPolygon>
            </wp:wrapTight>
            <wp:docPr id="38870194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701945" name=""/>
                    <pic:cNvPicPr/>
                  </pic:nvPicPr>
                  <pic:blipFill>
                    <a:blip r:embed="rId14">
                      <a:extLst>
                        <a:ext uri="{28A0092B-C50C-407E-A947-70E740481C1C}">
                          <a14:useLocalDpi xmlns:a14="http://schemas.microsoft.com/office/drawing/2010/main" val="0"/>
                        </a:ext>
                      </a:extLst>
                    </a:blip>
                    <a:stretch>
                      <a:fillRect/>
                    </a:stretch>
                  </pic:blipFill>
                  <pic:spPr>
                    <a:xfrm>
                      <a:off x="0" y="0"/>
                      <a:ext cx="3831285" cy="1935069"/>
                    </a:xfrm>
                    <a:prstGeom prst="rect">
                      <a:avLst/>
                    </a:prstGeom>
                  </pic:spPr>
                </pic:pic>
              </a:graphicData>
            </a:graphic>
          </wp:anchor>
        </w:drawing>
      </w:r>
    </w:p>
    <w:p w14:paraId="7F502FA7" w14:textId="77777777" w:rsidR="001C434E" w:rsidRDefault="001C434E" w:rsidP="001C434E">
      <w:pPr>
        <w:pStyle w:val="F2-zkladn"/>
        <w:rPr>
          <w:b/>
          <w:bCs/>
          <w:color w:val="000000"/>
          <w:sz w:val="28"/>
          <w:szCs w:val="28"/>
          <w:lang w:eastAsia="zh-CN"/>
        </w:rPr>
      </w:pPr>
    </w:p>
    <w:p w14:paraId="424117B3" w14:textId="77777777" w:rsidR="001C434E" w:rsidRDefault="001C434E" w:rsidP="001C434E">
      <w:pPr>
        <w:pStyle w:val="F2-zkladn"/>
        <w:rPr>
          <w:b/>
          <w:bCs/>
          <w:color w:val="000000"/>
          <w:sz w:val="28"/>
          <w:szCs w:val="28"/>
          <w:lang w:eastAsia="zh-CN"/>
        </w:rPr>
      </w:pPr>
    </w:p>
    <w:p w14:paraId="5636F595" w14:textId="77777777" w:rsidR="001C434E" w:rsidRDefault="001C434E" w:rsidP="001C434E">
      <w:pPr>
        <w:pStyle w:val="F2-zkladn"/>
        <w:rPr>
          <w:b/>
          <w:bCs/>
          <w:color w:val="000000"/>
          <w:sz w:val="28"/>
          <w:szCs w:val="28"/>
          <w:lang w:eastAsia="zh-CN"/>
        </w:rPr>
      </w:pPr>
    </w:p>
    <w:p w14:paraId="157840E1" w14:textId="77777777" w:rsidR="001C434E" w:rsidRDefault="001C434E" w:rsidP="001C434E">
      <w:pPr>
        <w:pStyle w:val="F2-zkladn"/>
        <w:rPr>
          <w:b/>
          <w:bCs/>
          <w:color w:val="000000"/>
          <w:sz w:val="28"/>
          <w:szCs w:val="28"/>
          <w:lang w:eastAsia="zh-CN"/>
        </w:rPr>
      </w:pPr>
    </w:p>
    <w:p w14:paraId="415DB2DB" w14:textId="77777777" w:rsidR="001C434E" w:rsidRDefault="001C434E" w:rsidP="001C434E">
      <w:pPr>
        <w:pStyle w:val="F2-zkladn"/>
        <w:rPr>
          <w:b/>
          <w:bCs/>
          <w:color w:val="000000"/>
          <w:sz w:val="28"/>
          <w:szCs w:val="28"/>
          <w:lang w:eastAsia="zh-CN"/>
        </w:rPr>
      </w:pPr>
    </w:p>
    <w:p w14:paraId="42A36176" w14:textId="77777777" w:rsidR="001C434E" w:rsidRDefault="001C434E" w:rsidP="001C434E">
      <w:pPr>
        <w:pStyle w:val="F2-zkladn"/>
        <w:rPr>
          <w:b/>
          <w:bCs/>
          <w:color w:val="000000"/>
          <w:sz w:val="28"/>
          <w:szCs w:val="28"/>
          <w:lang w:eastAsia="zh-CN"/>
        </w:rPr>
      </w:pPr>
    </w:p>
    <w:p w14:paraId="10DEC6E9" w14:textId="77777777" w:rsidR="001C434E" w:rsidRDefault="001C434E" w:rsidP="00C678A3">
      <w:pPr>
        <w:spacing w:line="276" w:lineRule="auto"/>
        <w:jc w:val="both"/>
        <w:rPr>
          <w:rFonts w:ascii="Invesco Interstate Light" w:eastAsiaTheme="minorEastAsia" w:hAnsi="Invesco Interstate Light"/>
          <w:sz w:val="22"/>
          <w:szCs w:val="22"/>
        </w:rPr>
      </w:pPr>
      <w:r w:rsidRPr="00725F1B">
        <w:rPr>
          <w:rFonts w:ascii="Invesco Interstate Light" w:eastAsiaTheme="minorEastAsia" w:hAnsi="Invesco Interstate Light"/>
          <w:sz w:val="22"/>
          <w:szCs w:val="22"/>
        </w:rPr>
        <w:lastRenderedPageBreak/>
        <w:t>Přitom kromě rozvíjejících se trhů nevypadá žádný jiný region zjevně podhodnocený, protože CAPE se blíží historickým průměrům.</w:t>
      </w:r>
    </w:p>
    <w:p w14:paraId="5FC9FE4E" w14:textId="77777777" w:rsidR="00725F1B" w:rsidRPr="00725F1B" w:rsidRDefault="00725F1B" w:rsidP="00C678A3">
      <w:pPr>
        <w:spacing w:line="276" w:lineRule="auto"/>
        <w:jc w:val="both"/>
        <w:rPr>
          <w:rFonts w:ascii="Invesco Interstate Light" w:eastAsiaTheme="minorEastAsia" w:hAnsi="Invesco Interstate Light"/>
          <w:sz w:val="22"/>
          <w:szCs w:val="22"/>
        </w:rPr>
      </w:pPr>
    </w:p>
    <w:p w14:paraId="4D81805B" w14:textId="0BE01507" w:rsidR="001C434E" w:rsidRDefault="001C434E" w:rsidP="00C678A3">
      <w:pPr>
        <w:spacing w:line="276" w:lineRule="auto"/>
        <w:jc w:val="both"/>
        <w:rPr>
          <w:rFonts w:ascii="Invesco Interstate Light" w:eastAsiaTheme="minorEastAsia" w:hAnsi="Invesco Interstate Light"/>
          <w:sz w:val="22"/>
          <w:szCs w:val="22"/>
        </w:rPr>
      </w:pPr>
      <w:r w:rsidRPr="00725F1B">
        <w:rPr>
          <w:rFonts w:ascii="Invesco Interstate Light" w:eastAsiaTheme="minorEastAsia" w:hAnsi="Invesco Interstate Light"/>
          <w:sz w:val="22"/>
          <w:szCs w:val="22"/>
        </w:rPr>
        <w:t xml:space="preserve">Specifické je Japonsko, které na první pohled vypadá podhodnocené, ale jeho průměrný CAPE je nadsazený kvůli dlouhé bublině na akciovém trhu a jeho ocenění se blíží průměru z období po finanční krizi. Srovnání výnosů napříč třídami aktiv zároveň ukazuje, že k 28. únoru 2025 mají americké akcie nejméně atraktivní ocenění. </w:t>
      </w:r>
      <w:r w:rsidRPr="00E31744">
        <w:rPr>
          <w:rFonts w:ascii="Invesco Interstate Light" w:eastAsiaTheme="minorEastAsia" w:hAnsi="Invesco Interstate Light"/>
          <w:i/>
          <w:iCs/>
          <w:sz w:val="22"/>
          <w:szCs w:val="22"/>
        </w:rPr>
        <w:t>„Jestliže mi loni připadalo obtížné obhájit americké akcie (viz zde), nyní je to ještě obtížnější. Samozřejmě, že americký akciový trh dlouho „vzdoroval gravitaci“ a může v tom pokračovat, ale myslím si, že ocenění dosáhlo úrovně, kterou bude stále obtížnější ignorovat. Proto zůstáváme v rámci modelové alokace aktiv uvedené na následující</w:t>
      </w:r>
      <w:r w:rsidR="00E87C41">
        <w:rPr>
          <w:rFonts w:ascii="Invesco Interstate Light" w:eastAsiaTheme="minorEastAsia" w:hAnsi="Invesco Interstate Light"/>
          <w:i/>
          <w:iCs/>
          <w:sz w:val="22"/>
          <w:szCs w:val="22"/>
        </w:rPr>
        <w:t xml:space="preserve"> tabulce</w:t>
      </w:r>
      <w:r w:rsidRPr="00E31744">
        <w:rPr>
          <w:rFonts w:ascii="Invesco Interstate Light" w:eastAsiaTheme="minorEastAsia" w:hAnsi="Invesco Interstate Light"/>
          <w:i/>
          <w:iCs/>
          <w:sz w:val="22"/>
          <w:szCs w:val="22"/>
        </w:rPr>
        <w:t xml:space="preserve"> </w:t>
      </w:r>
      <w:proofErr w:type="spellStart"/>
      <w:r w:rsidRPr="00E31744">
        <w:rPr>
          <w:rFonts w:ascii="Invesco Interstate Light" w:eastAsiaTheme="minorEastAsia" w:hAnsi="Invesco Interstate Light"/>
          <w:i/>
          <w:iCs/>
          <w:sz w:val="22"/>
          <w:szCs w:val="22"/>
        </w:rPr>
        <w:t>podvážení</w:t>
      </w:r>
      <w:proofErr w:type="spellEnd"/>
      <w:r w:rsidRPr="00E31744">
        <w:rPr>
          <w:rFonts w:ascii="Invesco Interstate Light" w:eastAsiaTheme="minorEastAsia" w:hAnsi="Invesco Interstate Light"/>
          <w:i/>
          <w:iCs/>
          <w:sz w:val="22"/>
          <w:szCs w:val="22"/>
        </w:rPr>
        <w:t>,“</w:t>
      </w:r>
      <w:r w:rsidRPr="00725F1B">
        <w:rPr>
          <w:rFonts w:ascii="Invesco Interstate Light" w:eastAsiaTheme="minorEastAsia" w:hAnsi="Invesco Interstate Light"/>
          <w:sz w:val="22"/>
          <w:szCs w:val="22"/>
        </w:rPr>
        <w:t xml:space="preserve"> uzavírá András </w:t>
      </w:r>
      <w:proofErr w:type="spellStart"/>
      <w:r w:rsidRPr="00725F1B">
        <w:rPr>
          <w:rFonts w:ascii="Invesco Interstate Light" w:eastAsiaTheme="minorEastAsia" w:hAnsi="Invesco Interstate Light"/>
          <w:sz w:val="22"/>
          <w:szCs w:val="22"/>
        </w:rPr>
        <w:t>Vig</w:t>
      </w:r>
      <w:proofErr w:type="spellEnd"/>
      <w:r w:rsidRPr="00725F1B">
        <w:rPr>
          <w:rFonts w:ascii="Invesco Interstate Light" w:eastAsiaTheme="minorEastAsia" w:hAnsi="Invesco Interstate Light"/>
          <w:sz w:val="22"/>
          <w:szCs w:val="22"/>
        </w:rPr>
        <w:t>.</w:t>
      </w:r>
    </w:p>
    <w:p w14:paraId="3C4E5D01" w14:textId="77777777" w:rsidR="002E4383" w:rsidRPr="00725F1B" w:rsidRDefault="002E4383" w:rsidP="00C678A3">
      <w:pPr>
        <w:spacing w:line="276" w:lineRule="auto"/>
        <w:jc w:val="both"/>
        <w:rPr>
          <w:rFonts w:ascii="Invesco Interstate Light" w:eastAsiaTheme="minorEastAsia" w:hAnsi="Invesco Interstate Light"/>
          <w:sz w:val="22"/>
          <w:szCs w:val="22"/>
        </w:rPr>
      </w:pPr>
    </w:p>
    <w:p w14:paraId="7C26073C" w14:textId="77777777" w:rsidR="001C434E" w:rsidRDefault="001C434E" w:rsidP="001C434E">
      <w:pPr>
        <w:pStyle w:val="F2-zkladn"/>
        <w:rPr>
          <w:b/>
          <w:bCs/>
          <w:color w:val="000000"/>
          <w:sz w:val="28"/>
          <w:szCs w:val="28"/>
          <w:lang w:eastAsia="zh-CN"/>
        </w:rPr>
      </w:pPr>
      <w:r w:rsidRPr="00D6734C">
        <w:rPr>
          <w:noProof/>
        </w:rPr>
        <w:drawing>
          <wp:anchor distT="0" distB="0" distL="114300" distR="114300" simplePos="0" relativeHeight="251663360" behindDoc="1" locked="0" layoutInCell="1" allowOverlap="1" wp14:anchorId="71202302" wp14:editId="78EC07D0">
            <wp:simplePos x="0" y="0"/>
            <wp:positionH relativeFrom="column">
              <wp:posOffset>56261</wp:posOffset>
            </wp:positionH>
            <wp:positionV relativeFrom="paragraph">
              <wp:posOffset>45212</wp:posOffset>
            </wp:positionV>
            <wp:extent cx="3309620" cy="4217670"/>
            <wp:effectExtent l="0" t="0" r="5080" b="0"/>
            <wp:wrapTight wrapText="bothSides">
              <wp:wrapPolygon edited="0">
                <wp:start x="0" y="0"/>
                <wp:lineTo x="0" y="21463"/>
                <wp:lineTo x="21509" y="21463"/>
                <wp:lineTo x="21509" y="0"/>
                <wp:lineTo x="0" y="0"/>
              </wp:wrapPolygon>
            </wp:wrapTight>
            <wp:docPr id="52038233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382333" name=""/>
                    <pic:cNvPicPr/>
                  </pic:nvPicPr>
                  <pic:blipFill>
                    <a:blip r:embed="rId15">
                      <a:extLst>
                        <a:ext uri="{28A0092B-C50C-407E-A947-70E740481C1C}">
                          <a14:useLocalDpi xmlns:a14="http://schemas.microsoft.com/office/drawing/2010/main" val="0"/>
                        </a:ext>
                      </a:extLst>
                    </a:blip>
                    <a:stretch>
                      <a:fillRect/>
                    </a:stretch>
                  </pic:blipFill>
                  <pic:spPr>
                    <a:xfrm>
                      <a:off x="0" y="0"/>
                      <a:ext cx="3309620" cy="4217670"/>
                    </a:xfrm>
                    <a:prstGeom prst="rect">
                      <a:avLst/>
                    </a:prstGeom>
                  </pic:spPr>
                </pic:pic>
              </a:graphicData>
            </a:graphic>
            <wp14:sizeRelH relativeFrom="margin">
              <wp14:pctWidth>0</wp14:pctWidth>
            </wp14:sizeRelH>
            <wp14:sizeRelV relativeFrom="margin">
              <wp14:pctHeight>0</wp14:pctHeight>
            </wp14:sizeRelV>
          </wp:anchor>
        </w:drawing>
      </w:r>
    </w:p>
    <w:p w14:paraId="59F08361" w14:textId="77777777" w:rsidR="001C434E" w:rsidRDefault="001C434E" w:rsidP="001C434E">
      <w:pPr>
        <w:pStyle w:val="F2-zkladn"/>
        <w:rPr>
          <w:b/>
          <w:bCs/>
          <w:color w:val="000000"/>
          <w:sz w:val="28"/>
          <w:szCs w:val="28"/>
          <w:lang w:eastAsia="zh-CN"/>
        </w:rPr>
      </w:pPr>
    </w:p>
    <w:p w14:paraId="7AED005E" w14:textId="77777777" w:rsidR="001C434E" w:rsidRDefault="001C434E" w:rsidP="001C434E">
      <w:pPr>
        <w:pStyle w:val="F2-zkladn"/>
      </w:pPr>
    </w:p>
    <w:p w14:paraId="71341812" w14:textId="77777777" w:rsidR="001C434E" w:rsidRDefault="001C434E" w:rsidP="001C434E">
      <w:pPr>
        <w:pStyle w:val="F2-zkladn"/>
      </w:pPr>
    </w:p>
    <w:p w14:paraId="768C698A" w14:textId="77777777" w:rsidR="001C434E" w:rsidRDefault="001C434E" w:rsidP="001C434E">
      <w:pPr>
        <w:pStyle w:val="F2-zkladn"/>
      </w:pPr>
    </w:p>
    <w:p w14:paraId="03B9CED8" w14:textId="77777777" w:rsidR="001C434E" w:rsidRDefault="001C434E" w:rsidP="001C434E">
      <w:pPr>
        <w:pStyle w:val="F2-zkladn"/>
      </w:pPr>
    </w:p>
    <w:p w14:paraId="0A40E3C1" w14:textId="77777777" w:rsidR="001C434E" w:rsidRDefault="001C434E" w:rsidP="001C434E">
      <w:pPr>
        <w:pStyle w:val="F2-zkladn"/>
      </w:pPr>
    </w:p>
    <w:p w14:paraId="766E07D3" w14:textId="77777777" w:rsidR="001C434E" w:rsidRDefault="001C434E" w:rsidP="001C434E">
      <w:pPr>
        <w:pStyle w:val="F2-zkladn"/>
      </w:pPr>
    </w:p>
    <w:p w14:paraId="762F2A00" w14:textId="77777777" w:rsidR="001C434E" w:rsidRDefault="001C434E" w:rsidP="001C434E">
      <w:pPr>
        <w:pStyle w:val="F2-zkladn"/>
      </w:pPr>
    </w:p>
    <w:p w14:paraId="0A6B480D" w14:textId="77777777" w:rsidR="001C434E" w:rsidRDefault="001C434E" w:rsidP="001C434E">
      <w:pPr>
        <w:pStyle w:val="F2-zkladn"/>
      </w:pPr>
    </w:p>
    <w:p w14:paraId="50B7CC8D" w14:textId="77777777" w:rsidR="001C434E" w:rsidRDefault="001C434E" w:rsidP="001C434E">
      <w:pPr>
        <w:pStyle w:val="F2-zkladn"/>
      </w:pPr>
    </w:p>
    <w:p w14:paraId="51B8B55D" w14:textId="77777777" w:rsidR="001C434E" w:rsidRDefault="001C434E" w:rsidP="00FE7A02">
      <w:pPr>
        <w:spacing w:before="100" w:beforeAutospacing="1" w:after="100" w:afterAutospacing="1" w:line="266" w:lineRule="atLeast"/>
        <w:jc w:val="both"/>
        <w:outlineLvl w:val="0"/>
        <w:rPr>
          <w:rFonts w:ascii="Invesco Interstate Bold" w:hAnsi="Invesco Interstate Bold"/>
          <w:b/>
          <w:bCs/>
          <w:sz w:val="28"/>
          <w:szCs w:val="28"/>
        </w:rPr>
      </w:pPr>
    </w:p>
    <w:p w14:paraId="6457DE86" w14:textId="77777777" w:rsidR="001C434E" w:rsidRDefault="001C434E" w:rsidP="00916408">
      <w:pPr>
        <w:spacing w:before="100" w:beforeAutospacing="1" w:afterAutospacing="1" w:line="240" w:lineRule="auto"/>
        <w:jc w:val="both"/>
        <w:rPr>
          <w:rFonts w:ascii="Invesco Interstate Light" w:eastAsiaTheme="minorEastAsia" w:hAnsi="Invesco Interstate Light"/>
          <w:i/>
          <w:sz w:val="22"/>
          <w:szCs w:val="22"/>
        </w:rPr>
      </w:pPr>
    </w:p>
    <w:p w14:paraId="288CE798" w14:textId="77777777" w:rsidR="001C434E" w:rsidRDefault="001C434E" w:rsidP="00916408">
      <w:pPr>
        <w:spacing w:before="100" w:beforeAutospacing="1" w:afterAutospacing="1" w:line="240" w:lineRule="auto"/>
        <w:jc w:val="both"/>
        <w:rPr>
          <w:rFonts w:ascii="Invesco Interstate Light" w:eastAsiaTheme="minorEastAsia" w:hAnsi="Invesco Interstate Light"/>
          <w:i/>
          <w:sz w:val="22"/>
          <w:szCs w:val="22"/>
        </w:rPr>
      </w:pPr>
    </w:p>
    <w:p w14:paraId="408D8C9F" w14:textId="77777777" w:rsidR="00036240" w:rsidRDefault="00036240" w:rsidP="00651AAE">
      <w:pPr>
        <w:autoSpaceDE w:val="0"/>
        <w:autoSpaceDN w:val="0"/>
        <w:adjustRightInd w:val="0"/>
        <w:spacing w:line="240" w:lineRule="auto"/>
        <w:rPr>
          <w:rFonts w:ascii="Invesco Interstate Light" w:eastAsiaTheme="minorEastAsia" w:hAnsi="Invesco Interstate Light"/>
          <w:i/>
          <w:sz w:val="22"/>
          <w:szCs w:val="22"/>
        </w:rPr>
      </w:pPr>
    </w:p>
    <w:p w14:paraId="74BD62B0" w14:textId="77777777" w:rsidR="00496A7E" w:rsidRDefault="00496A7E" w:rsidP="00651AAE">
      <w:pPr>
        <w:autoSpaceDE w:val="0"/>
        <w:autoSpaceDN w:val="0"/>
        <w:adjustRightInd w:val="0"/>
        <w:spacing w:line="240" w:lineRule="auto"/>
        <w:rPr>
          <w:rFonts w:ascii="Invesco Interstate Light" w:eastAsiaTheme="minorEastAsia" w:hAnsi="Invesco Interstate Light"/>
          <w:i/>
          <w:sz w:val="22"/>
          <w:szCs w:val="22"/>
        </w:rPr>
      </w:pPr>
    </w:p>
    <w:p w14:paraId="71BC627A" w14:textId="77777777" w:rsidR="00496A7E" w:rsidRDefault="00496A7E" w:rsidP="00651AAE">
      <w:pPr>
        <w:autoSpaceDE w:val="0"/>
        <w:autoSpaceDN w:val="0"/>
        <w:adjustRightInd w:val="0"/>
        <w:spacing w:line="240" w:lineRule="auto"/>
        <w:rPr>
          <w:rFonts w:ascii="Invesco Interstate Light" w:eastAsiaTheme="minorEastAsia" w:hAnsi="Invesco Interstate Light"/>
          <w:i/>
          <w:sz w:val="22"/>
          <w:szCs w:val="22"/>
        </w:rPr>
      </w:pPr>
    </w:p>
    <w:p w14:paraId="33B5FC63" w14:textId="77777777" w:rsidR="00231BDC" w:rsidRDefault="00231BDC" w:rsidP="00651AAE">
      <w:pPr>
        <w:autoSpaceDE w:val="0"/>
        <w:autoSpaceDN w:val="0"/>
        <w:adjustRightInd w:val="0"/>
        <w:spacing w:line="240" w:lineRule="auto"/>
        <w:rPr>
          <w:rFonts w:ascii="Invesco Interstate Light" w:eastAsiaTheme="minorEastAsia" w:hAnsi="Invesco Interstate Light"/>
          <w:i/>
          <w:sz w:val="22"/>
          <w:szCs w:val="22"/>
        </w:rPr>
      </w:pPr>
    </w:p>
    <w:p w14:paraId="165D63DD" w14:textId="77777777" w:rsidR="00496A7E" w:rsidRDefault="00496A7E" w:rsidP="00651AAE">
      <w:pPr>
        <w:autoSpaceDE w:val="0"/>
        <w:autoSpaceDN w:val="0"/>
        <w:adjustRightInd w:val="0"/>
        <w:spacing w:line="240" w:lineRule="auto"/>
        <w:rPr>
          <w:rFonts w:ascii="Invesco Interstate Light" w:hAnsi="Invesco Interstate Light"/>
        </w:rPr>
      </w:pPr>
    </w:p>
    <w:p w14:paraId="11588B8D" w14:textId="77777777"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lastRenderedPageBreak/>
        <w:t>Varování před riziky</w:t>
      </w:r>
    </w:p>
    <w:p w14:paraId="0CEE6742"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30FC09F2" w14:textId="77777777"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501660E1"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058F7B06" w14:textId="77777777"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6C6F3C24" w14:textId="77777777" w:rsidR="00243188" w:rsidRDefault="00243188" w:rsidP="00651AAE">
      <w:pPr>
        <w:autoSpaceDE w:val="0"/>
        <w:autoSpaceDN w:val="0"/>
        <w:adjustRightInd w:val="0"/>
        <w:spacing w:line="240" w:lineRule="auto"/>
        <w:rPr>
          <w:rFonts w:ascii="Invesco Interstate Light" w:hAnsi="Invesco Interstate Light"/>
          <w:b/>
          <w:bCs/>
          <w:sz w:val="22"/>
          <w:szCs w:val="22"/>
        </w:rPr>
      </w:pPr>
    </w:p>
    <w:p w14:paraId="02631C4E"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2F418D1E" w14:textId="77777777" w:rsidR="00674110"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00CF74E6"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31C43A20" w14:textId="77777777" w:rsidR="00D80D6F" w:rsidRDefault="00D80D6F" w:rsidP="00651AAE">
      <w:pPr>
        <w:autoSpaceDE w:val="0"/>
        <w:autoSpaceDN w:val="0"/>
        <w:adjustRightInd w:val="0"/>
        <w:spacing w:line="240" w:lineRule="auto"/>
        <w:rPr>
          <w:rFonts w:ascii="Invesco Interstate Light" w:hAnsi="Invesco Interstate Light"/>
          <w:b/>
          <w:bCs/>
          <w:sz w:val="22"/>
          <w:szCs w:val="22"/>
        </w:rPr>
      </w:pPr>
    </w:p>
    <w:p w14:paraId="4FF6BBA9" w14:textId="77777777"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O společnosti Invesco</w:t>
      </w:r>
    </w:p>
    <w:p w14:paraId="478A2629"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19E6DA4C"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sidR="008E6B91">
        <w:rPr>
          <w:rFonts w:ascii="Invesco Interstate Light" w:hAnsi="Invesco Interstate Light"/>
        </w:rPr>
        <w:t>–</w:t>
      </w:r>
      <w:r w:rsidRPr="00654055">
        <w:rPr>
          <w:rFonts w:ascii="Invesco Interstate Light" w:hAnsi="Invesco Interstate Light"/>
          <w:sz w:val="22"/>
          <w:szCs w:val="22"/>
        </w:rPr>
        <w:t xml:space="preserve"> pobočka pobočky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proofErr w:type="gram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jsou</w:t>
      </w:r>
      <w:proofErr w:type="gramEnd"/>
      <w:r w:rsidRPr="00654055">
        <w:rPr>
          <w:rFonts w:ascii="Invesco Interstate Light" w:hAnsi="Invesco Interstate Light"/>
          <w:sz w:val="22"/>
          <w:szCs w:val="22"/>
        </w:rPr>
        <w:t xml:space="preserve"> součástí Invesco Ltd., </w:t>
      </w:r>
    </w:p>
    <w:p w14:paraId="48516290"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753EF6B1"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B8ACFFA"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 případě jakýchkoli dotazů nebo potřeby dalších informací se obraťte na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w:t>
      </w:r>
      <w:r w:rsidR="00CD1333">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Valentin Jakubow, telefon +49 69 29807-311.</w:t>
      </w:r>
    </w:p>
    <w:p w14:paraId="67595E0B"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6A79BCFC"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5B540C73"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426E901D"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269B7770" w14:textId="77777777"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Vydavatelem těchto informací v České republice je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An der </w:t>
      </w:r>
      <w:proofErr w:type="spellStart"/>
      <w:r w:rsidRPr="00654055">
        <w:rPr>
          <w:rFonts w:ascii="Invesco Interstate Light" w:hAnsi="Invesco Interstate Light"/>
          <w:sz w:val="22"/>
          <w:szCs w:val="22"/>
        </w:rPr>
        <w:t>Welle</w:t>
      </w:r>
      <w:proofErr w:type="spellEnd"/>
      <w:r w:rsidRPr="00654055">
        <w:rPr>
          <w:rFonts w:ascii="Invesco Interstate Light" w:hAnsi="Invesco Interstate Light"/>
          <w:sz w:val="22"/>
          <w:szCs w:val="22"/>
        </w:rPr>
        <w:t xml:space="preserv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3541C16E"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36A66637" w14:textId="77777777"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28AC09DF" w14:textId="77777777" w:rsidR="00861B48" w:rsidRPr="00861B48" w:rsidRDefault="00861B48" w:rsidP="00861B48">
      <w:pPr>
        <w:spacing w:line="240" w:lineRule="auto"/>
        <w:rPr>
          <w:rFonts w:ascii="Invesco Interstate Light" w:hAnsi="Invesco Interstate Light"/>
          <w:b/>
          <w:sz w:val="22"/>
          <w:szCs w:val="22"/>
          <w:u w:val="single"/>
        </w:rPr>
      </w:pPr>
    </w:p>
    <w:p w14:paraId="6B038B32"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1FFFF8B" w14:textId="77777777" w:rsidR="002355DD" w:rsidRPr="00873CBF" w:rsidRDefault="002355DD" w:rsidP="002355DD">
      <w:pPr>
        <w:spacing w:line="240" w:lineRule="exact"/>
        <w:rPr>
          <w:rFonts w:ascii="Invesco Interstate Light" w:hAnsi="Invesco Interstate Light"/>
          <w:b/>
          <w:sz w:val="22"/>
          <w:szCs w:val="22"/>
        </w:rPr>
      </w:pPr>
      <w:proofErr w:type="spellStart"/>
      <w:r w:rsidRPr="00873CBF">
        <w:rPr>
          <w:rFonts w:ascii="Invesco Interstate Light" w:hAnsi="Invesco Interstate Light"/>
          <w:b/>
          <w:sz w:val="22"/>
          <w:szCs w:val="22"/>
        </w:rPr>
        <w:t>Crest</w:t>
      </w:r>
      <w:proofErr w:type="spellEnd"/>
      <w:r w:rsidRPr="00873CBF">
        <w:rPr>
          <w:rFonts w:ascii="Invesco Interstate Light" w:hAnsi="Invesco Interstate Light"/>
          <w:b/>
          <w:sz w:val="22"/>
          <w:szCs w:val="22"/>
        </w:rPr>
        <w:t xml:space="preserve"> Communications, a.s.</w:t>
      </w:r>
    </w:p>
    <w:p w14:paraId="54FB2D12" w14:textId="77777777" w:rsidR="002355DD" w:rsidRPr="00873CBF" w:rsidRDefault="002355DD" w:rsidP="002355DD">
      <w:pPr>
        <w:spacing w:line="240" w:lineRule="exact"/>
        <w:rPr>
          <w:rFonts w:ascii="Invesco Interstate Light" w:hAnsi="Invesco Interstate Light"/>
          <w:sz w:val="22"/>
          <w:szCs w:val="22"/>
        </w:rPr>
      </w:pPr>
    </w:p>
    <w:p w14:paraId="42FCE083"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7A3DCB51"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2FADD870" w14:textId="77777777" w:rsidR="002355DD" w:rsidRPr="00873CBF" w:rsidRDefault="002355DD" w:rsidP="002355DD">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3B551DD3" w14:textId="77777777" w:rsidR="002355DD" w:rsidRPr="00907B79"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6" w:history="1">
        <w:r w:rsidRPr="00873CBF">
          <w:rPr>
            <w:rFonts w:ascii="Invesco Interstate Light" w:hAnsi="Invesco Interstate Light"/>
            <w:sz w:val="22"/>
            <w:szCs w:val="22"/>
          </w:rPr>
          <w:t>eliska.krohova@crestcom.cz</w:t>
        </w:r>
      </w:hyperlink>
    </w:p>
    <w:sectPr w:rsidR="002355DD" w:rsidRPr="00907B79" w:rsidSect="00AD7532">
      <w:headerReference w:type="default" r:id="rId17"/>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BB663" w14:textId="77777777" w:rsidR="002A7CFA" w:rsidRDefault="002A7CFA">
      <w:r>
        <w:separator/>
      </w:r>
    </w:p>
  </w:endnote>
  <w:endnote w:type="continuationSeparator" w:id="0">
    <w:p w14:paraId="056FA4BE" w14:textId="77777777" w:rsidR="002A7CFA" w:rsidRDefault="002A7CFA">
      <w:r>
        <w:continuationSeparator/>
      </w:r>
    </w:p>
  </w:endnote>
  <w:endnote w:type="continuationNotice" w:id="1">
    <w:p w14:paraId="236CB3C2" w14:textId="77777777" w:rsidR="002A7CFA" w:rsidRDefault="002A7C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513D2" w14:textId="77777777" w:rsidR="002A7CFA" w:rsidRDefault="002A7CFA">
      <w:r>
        <w:separator/>
      </w:r>
    </w:p>
  </w:footnote>
  <w:footnote w:type="continuationSeparator" w:id="0">
    <w:p w14:paraId="163F43E6" w14:textId="77777777" w:rsidR="002A7CFA" w:rsidRDefault="002A7CFA">
      <w:r>
        <w:continuationSeparator/>
      </w:r>
    </w:p>
  </w:footnote>
  <w:footnote w:type="continuationNotice" w:id="1">
    <w:p w14:paraId="25A0F3FA" w14:textId="77777777" w:rsidR="002A7CFA" w:rsidRDefault="002A7CF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6C7C3" w14:textId="77777777"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02340A20" wp14:editId="21752E4A">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anchor>
      </w:drawing>
    </w:r>
    <w:proofErr w:type="spellStart"/>
    <w:r w:rsidR="59A5D358">
      <w:rPr>
        <w:rFonts w:ascii="Invesco Interstate Bold" w:hAnsi="Invesco Interstate Bold"/>
        <w:sz w:val="28"/>
        <w:szCs w:val="28"/>
      </w:rPr>
      <w:t>Press</w:t>
    </w:r>
    <w:proofErr w:type="spellEnd"/>
    <w:r w:rsidR="59A5D358">
      <w:rPr>
        <w:rFonts w:ascii="Invesco Interstate Bold" w:hAnsi="Invesco Interstate Bold"/>
        <w:sz w:val="28"/>
        <w:szCs w:val="28"/>
      </w:rPr>
      <w:t xml:space="preserve"> </w:t>
    </w:r>
    <w:proofErr w:type="spellStart"/>
    <w:r w:rsidR="59A5D358">
      <w:rPr>
        <w:rFonts w:ascii="Invesco Interstate Bold" w:hAnsi="Invesco Interstate Bold"/>
        <w:sz w:val="28"/>
        <w:szCs w:val="28"/>
      </w:rPr>
      <w:t>release</w:t>
    </w:r>
    <w:proofErr w:type="spellEnd"/>
  </w:p>
  <w:p w14:paraId="7FBA5F2D"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2BE22B4C" w14:textId="565FAAEB" w:rsidR="00702C33" w:rsidRPr="000730A6" w:rsidRDefault="00AC2D81" w:rsidP="0083625E">
    <w:pPr>
      <w:pStyle w:val="Zhlav"/>
      <w:pBdr>
        <w:top w:val="single" w:sz="4" w:space="3" w:color="auto"/>
      </w:pBdr>
      <w:spacing w:line="298" w:lineRule="exact"/>
      <w:ind w:left="3402"/>
      <w:jc w:val="right"/>
      <w:rPr>
        <w:color w:val="000000"/>
        <w:sz w:val="28"/>
        <w:szCs w:val="28"/>
      </w:rPr>
    </w:pPr>
    <w:r>
      <w:rPr>
        <w:color w:val="000000"/>
        <w:sz w:val="28"/>
        <w:szCs w:val="28"/>
      </w:rPr>
      <w:t>7</w:t>
    </w:r>
    <w:r w:rsidR="0083625E">
      <w:rPr>
        <w:color w:val="000000"/>
        <w:sz w:val="28"/>
        <w:szCs w:val="28"/>
      </w:rPr>
      <w:t>.</w:t>
    </w:r>
    <w:r w:rsidR="001C434E">
      <w:rPr>
        <w:color w:val="000000"/>
        <w:sz w:val="28"/>
        <w:szCs w:val="28"/>
      </w:rPr>
      <w:t>3</w:t>
    </w:r>
    <w:r w:rsidR="0083625E">
      <w:rPr>
        <w:color w:val="000000"/>
        <w:sz w:val="28"/>
        <w:szCs w:val="28"/>
      </w:rPr>
      <w:t>.202</w:t>
    </w:r>
    <w:r>
      <w:rPr>
        <w:color w:val="000000"/>
        <w:sz w:val="28"/>
        <w:szCs w:val="28"/>
      </w:rPr>
      <w:t>5</w:t>
    </w:r>
  </w:p>
  <w:p w14:paraId="1EA3D675"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0E6703C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210972E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028A51A1" w14:textId="77777777"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267334"/>
    <w:multiLevelType w:val="hybridMultilevel"/>
    <w:tmpl w:val="E1507D86"/>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120E66C1"/>
    <w:multiLevelType w:val="hybridMultilevel"/>
    <w:tmpl w:val="9A2E8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BA6B42"/>
    <w:multiLevelType w:val="hybridMultilevel"/>
    <w:tmpl w:val="43C08F5C"/>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0" w15:restartNumberingAfterBreak="0">
    <w:nsid w:val="1D174141"/>
    <w:multiLevelType w:val="hybridMultilevel"/>
    <w:tmpl w:val="D6784764"/>
    <w:lvl w:ilvl="0" w:tplc="04050001">
      <w:start w:val="1"/>
      <w:numFmt w:val="bullet"/>
      <w:lvlText w:val=""/>
      <w:lvlJc w:val="left"/>
      <w:pPr>
        <w:ind w:left="720" w:hanging="360"/>
      </w:pPr>
      <w:rPr>
        <w:rFonts w:ascii="Symbol" w:hAnsi="Symbol" w:hint="default"/>
      </w:rPr>
    </w:lvl>
    <w:lvl w:ilvl="1" w:tplc="426223F8">
      <w:numFmt w:val="bullet"/>
      <w:lvlText w:val="-"/>
      <w:lvlJc w:val="left"/>
      <w:pPr>
        <w:ind w:left="1440" w:hanging="360"/>
      </w:pPr>
      <w:rPr>
        <w:rFonts w:ascii="Invesco Interstate Light" w:eastAsiaTheme="minorEastAsia" w:hAnsi="Invesco Interstate Light"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E345DB5"/>
    <w:multiLevelType w:val="hybridMultilevel"/>
    <w:tmpl w:val="4A88B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E5A149A"/>
    <w:multiLevelType w:val="hybridMultilevel"/>
    <w:tmpl w:val="49C69EAC"/>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32A31DB"/>
    <w:multiLevelType w:val="hybridMultilevel"/>
    <w:tmpl w:val="F550C1C8"/>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8C671E6"/>
    <w:multiLevelType w:val="hybridMultilevel"/>
    <w:tmpl w:val="1C8EFA80"/>
    <w:lvl w:ilvl="0" w:tplc="04050001">
      <w:start w:val="1"/>
      <w:numFmt w:val="bullet"/>
      <w:lvlText w:val=""/>
      <w:lvlJc w:val="left"/>
      <w:pPr>
        <w:ind w:left="720" w:hanging="360"/>
      </w:pPr>
      <w:rPr>
        <w:rFonts w:ascii="Symbol" w:hAnsi="Symbol" w:hint="default"/>
      </w:rPr>
    </w:lvl>
    <w:lvl w:ilvl="1" w:tplc="E97CBD4A">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B226B76"/>
    <w:multiLevelType w:val="hybridMultilevel"/>
    <w:tmpl w:val="223E185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CE3392A"/>
    <w:multiLevelType w:val="hybridMultilevel"/>
    <w:tmpl w:val="3ACE4E12"/>
    <w:lvl w:ilvl="0" w:tplc="48E2694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28272E8"/>
    <w:multiLevelType w:val="hybridMultilevel"/>
    <w:tmpl w:val="0CF434E4"/>
    <w:lvl w:ilvl="0" w:tplc="B988134C">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3B3101F"/>
    <w:multiLevelType w:val="hybridMultilevel"/>
    <w:tmpl w:val="CC76745C"/>
    <w:lvl w:ilvl="0" w:tplc="3AB0C2B2">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A46D70"/>
    <w:multiLevelType w:val="multilevel"/>
    <w:tmpl w:val="11820CCE"/>
    <w:numStyleLink w:val="FormatvorlageAufgezhlt"/>
  </w:abstractNum>
  <w:abstractNum w:abstractNumId="22" w15:restartNumberingAfterBreak="0">
    <w:nsid w:val="40AF481D"/>
    <w:multiLevelType w:val="hybridMultilevel"/>
    <w:tmpl w:val="7E585F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DA2BBE"/>
    <w:multiLevelType w:val="hybridMultilevel"/>
    <w:tmpl w:val="B4883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3D085B"/>
    <w:multiLevelType w:val="hybridMultilevel"/>
    <w:tmpl w:val="755E22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AE32DDB"/>
    <w:multiLevelType w:val="hybridMultilevel"/>
    <w:tmpl w:val="B4AA798C"/>
    <w:lvl w:ilvl="0" w:tplc="B988134C">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BB94291"/>
    <w:multiLevelType w:val="hybridMultilevel"/>
    <w:tmpl w:val="E752F8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D630B23"/>
    <w:multiLevelType w:val="multilevel"/>
    <w:tmpl w:val="11820CCE"/>
    <w:numStyleLink w:val="FormatvorlageAufgezhlt"/>
  </w:abstractNum>
  <w:abstractNum w:abstractNumId="31" w15:restartNumberingAfterBreak="0">
    <w:nsid w:val="525A0C52"/>
    <w:multiLevelType w:val="hybridMultilevel"/>
    <w:tmpl w:val="F41A0B16"/>
    <w:lvl w:ilvl="0" w:tplc="04050001">
      <w:start w:val="1"/>
      <w:numFmt w:val="bullet"/>
      <w:lvlText w:val=""/>
      <w:lvlJc w:val="left"/>
      <w:pPr>
        <w:ind w:left="720" w:hanging="360"/>
      </w:pPr>
      <w:rPr>
        <w:rFonts w:ascii="Symbol" w:hAnsi="Symbol" w:hint="default"/>
      </w:rPr>
    </w:lvl>
    <w:lvl w:ilvl="1" w:tplc="1E6682B0">
      <w:numFmt w:val="bullet"/>
      <w:lvlText w:val="-"/>
      <w:lvlJc w:val="left"/>
      <w:pPr>
        <w:ind w:left="1440" w:hanging="360"/>
      </w:pPr>
      <w:rPr>
        <w:rFonts w:ascii="Interstate-Light" w:eastAsia="Times New Roman" w:hAnsi="Interstate-Light"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49C3397"/>
    <w:multiLevelType w:val="hybridMultilevel"/>
    <w:tmpl w:val="6B8A23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B4344C"/>
    <w:multiLevelType w:val="hybridMultilevel"/>
    <w:tmpl w:val="92EAC8B4"/>
    <w:lvl w:ilvl="0" w:tplc="FF0ABBC8">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FB2977"/>
    <w:multiLevelType w:val="hybridMultilevel"/>
    <w:tmpl w:val="47EA410E"/>
    <w:lvl w:ilvl="0" w:tplc="BC3488B6">
      <w:start w:val="27"/>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79F0EFC"/>
    <w:multiLevelType w:val="hybridMultilevel"/>
    <w:tmpl w:val="144E3F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A5A4861"/>
    <w:multiLevelType w:val="hybridMultilevel"/>
    <w:tmpl w:val="BD141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BD403C3"/>
    <w:multiLevelType w:val="multilevel"/>
    <w:tmpl w:val="11820CCE"/>
    <w:numStyleLink w:val="FormatvorlageAufgezhlt"/>
  </w:abstractNum>
  <w:abstractNum w:abstractNumId="43" w15:restartNumberingAfterBreak="0">
    <w:nsid w:val="6C6C4721"/>
    <w:multiLevelType w:val="multilevel"/>
    <w:tmpl w:val="11820CCE"/>
    <w:numStyleLink w:val="FormatvorlageAufgezhlt"/>
  </w:abstractNum>
  <w:abstractNum w:abstractNumId="44"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D854370"/>
    <w:multiLevelType w:val="multilevel"/>
    <w:tmpl w:val="C00C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024771F"/>
    <w:multiLevelType w:val="hybridMultilevel"/>
    <w:tmpl w:val="45EA8F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4E5380B"/>
    <w:multiLevelType w:val="multilevel"/>
    <w:tmpl w:val="11820CCE"/>
    <w:numStyleLink w:val="FormatvorlageAufgezhlt"/>
  </w:abstractNum>
  <w:abstractNum w:abstractNumId="48"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FDE4F09"/>
    <w:multiLevelType w:val="hybridMultilevel"/>
    <w:tmpl w:val="6E5AF154"/>
    <w:lvl w:ilvl="0" w:tplc="04050001">
      <w:start w:val="1"/>
      <w:numFmt w:val="bullet"/>
      <w:lvlText w:val=""/>
      <w:lvlJc w:val="left"/>
      <w:pPr>
        <w:ind w:left="720" w:hanging="360"/>
      </w:pPr>
      <w:rPr>
        <w:rFonts w:ascii="Symbol" w:hAnsi="Symbol" w:hint="default"/>
      </w:rPr>
    </w:lvl>
    <w:lvl w:ilvl="1" w:tplc="D01C82E0">
      <w:numFmt w:val="bullet"/>
      <w:lvlText w:val="-"/>
      <w:lvlJc w:val="left"/>
      <w:pPr>
        <w:ind w:left="1440" w:hanging="360"/>
      </w:pPr>
      <w:rPr>
        <w:rFonts w:ascii="Interstate-Light" w:eastAsia="Times New Roman" w:hAnsi="Interstate-Light" w:cs="Times New Roman" w:hint="default"/>
        <w:sz w:val="18"/>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80058407">
    <w:abstractNumId w:val="0"/>
  </w:num>
  <w:num w:numId="2" w16cid:durableId="1483155109">
    <w:abstractNumId w:val="23"/>
  </w:num>
  <w:num w:numId="3" w16cid:durableId="1058673432">
    <w:abstractNumId w:val="37"/>
  </w:num>
  <w:num w:numId="4" w16cid:durableId="1730423567">
    <w:abstractNumId w:val="25"/>
  </w:num>
  <w:num w:numId="5" w16cid:durableId="1333148149">
    <w:abstractNumId w:val="30"/>
  </w:num>
  <w:num w:numId="6" w16cid:durableId="314455825">
    <w:abstractNumId w:val="42"/>
  </w:num>
  <w:num w:numId="7" w16cid:durableId="731198378">
    <w:abstractNumId w:val="43"/>
  </w:num>
  <w:num w:numId="8" w16cid:durableId="1195004484">
    <w:abstractNumId w:val="1"/>
  </w:num>
  <w:num w:numId="9" w16cid:durableId="47461023">
    <w:abstractNumId w:val="47"/>
  </w:num>
  <w:num w:numId="10" w16cid:durableId="1088232992">
    <w:abstractNumId w:val="21"/>
  </w:num>
  <w:num w:numId="11" w16cid:durableId="596720224">
    <w:abstractNumId w:val="5"/>
  </w:num>
  <w:num w:numId="12" w16cid:durableId="11818905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0141965">
    <w:abstractNumId w:val="52"/>
  </w:num>
  <w:num w:numId="14" w16cid:durableId="433985897">
    <w:abstractNumId w:val="53"/>
  </w:num>
  <w:num w:numId="15" w16cid:durableId="859778437">
    <w:abstractNumId w:val="36"/>
  </w:num>
  <w:num w:numId="16" w16cid:durableId="1185170297">
    <w:abstractNumId w:val="9"/>
  </w:num>
  <w:num w:numId="17" w16cid:durableId="1553468409">
    <w:abstractNumId w:val="2"/>
  </w:num>
  <w:num w:numId="18" w16cid:durableId="2045514728">
    <w:abstractNumId w:val="41"/>
  </w:num>
  <w:num w:numId="19" w16cid:durableId="2025092752">
    <w:abstractNumId w:val="44"/>
  </w:num>
  <w:num w:numId="20" w16cid:durableId="1183128137">
    <w:abstractNumId w:val="50"/>
  </w:num>
  <w:num w:numId="21" w16cid:durableId="1771581749">
    <w:abstractNumId w:val="49"/>
  </w:num>
  <w:num w:numId="22" w16cid:durableId="1104567758">
    <w:abstractNumId w:val="20"/>
  </w:num>
  <w:num w:numId="23" w16cid:durableId="106583224">
    <w:abstractNumId w:val="35"/>
  </w:num>
  <w:num w:numId="24" w16cid:durableId="999164007">
    <w:abstractNumId w:val="27"/>
  </w:num>
  <w:num w:numId="25" w16cid:durableId="730884105">
    <w:abstractNumId w:val="51"/>
  </w:num>
  <w:num w:numId="26" w16cid:durableId="892352369">
    <w:abstractNumId w:val="33"/>
  </w:num>
  <w:num w:numId="27" w16cid:durableId="1829445642">
    <w:abstractNumId w:val="3"/>
  </w:num>
  <w:num w:numId="28" w16cid:durableId="237179842">
    <w:abstractNumId w:val="7"/>
  </w:num>
  <w:num w:numId="29" w16cid:durableId="1106922947">
    <w:abstractNumId w:val="48"/>
  </w:num>
  <w:num w:numId="30" w16cid:durableId="1370059916">
    <w:abstractNumId w:val="31"/>
  </w:num>
  <w:num w:numId="31" w16cid:durableId="1332021732">
    <w:abstractNumId w:val="32"/>
  </w:num>
  <w:num w:numId="32" w16cid:durableId="1599289510">
    <w:abstractNumId w:val="11"/>
  </w:num>
  <w:num w:numId="33" w16cid:durableId="123156381">
    <w:abstractNumId w:val="45"/>
  </w:num>
  <w:num w:numId="34" w16cid:durableId="74061241">
    <w:abstractNumId w:val="24"/>
  </w:num>
  <w:num w:numId="35" w16cid:durableId="454254969">
    <w:abstractNumId w:val="17"/>
  </w:num>
  <w:num w:numId="36" w16cid:durableId="1851555716">
    <w:abstractNumId w:val="16"/>
  </w:num>
  <w:num w:numId="37" w16cid:durableId="629167241">
    <w:abstractNumId w:val="22"/>
  </w:num>
  <w:num w:numId="38" w16cid:durableId="629282308">
    <w:abstractNumId w:val="26"/>
  </w:num>
  <w:num w:numId="39" w16cid:durableId="914512492">
    <w:abstractNumId w:val="6"/>
  </w:num>
  <w:num w:numId="40" w16cid:durableId="1909345610">
    <w:abstractNumId w:val="39"/>
  </w:num>
  <w:num w:numId="41" w16cid:durableId="331569117">
    <w:abstractNumId w:val="28"/>
  </w:num>
  <w:num w:numId="42" w16cid:durableId="346760006">
    <w:abstractNumId w:val="18"/>
  </w:num>
  <w:num w:numId="43" w16cid:durableId="643899494">
    <w:abstractNumId w:val="40"/>
  </w:num>
  <w:num w:numId="44" w16cid:durableId="1087651064">
    <w:abstractNumId w:val="15"/>
  </w:num>
  <w:num w:numId="45" w16cid:durableId="93399324">
    <w:abstractNumId w:val="29"/>
  </w:num>
  <w:num w:numId="46" w16cid:durableId="1446997153">
    <w:abstractNumId w:val="19"/>
  </w:num>
  <w:num w:numId="47" w16cid:durableId="41251674">
    <w:abstractNumId w:val="8"/>
  </w:num>
  <w:num w:numId="48" w16cid:durableId="2013675022">
    <w:abstractNumId w:val="46"/>
  </w:num>
  <w:num w:numId="49" w16cid:durableId="320428871">
    <w:abstractNumId w:val="34"/>
  </w:num>
  <w:num w:numId="50" w16cid:durableId="1576622729">
    <w:abstractNumId w:val="14"/>
  </w:num>
  <w:num w:numId="51" w16cid:durableId="919368368">
    <w:abstractNumId w:val="10"/>
  </w:num>
  <w:num w:numId="52" w16cid:durableId="1207447877">
    <w:abstractNumId w:val="38"/>
  </w:num>
  <w:num w:numId="53" w16cid:durableId="476186623">
    <w:abstractNumId w:val="12"/>
  </w:num>
  <w:num w:numId="54" w16cid:durableId="669210282">
    <w:abstractNumId w:val="54"/>
  </w:num>
  <w:num w:numId="55" w16cid:durableId="14314622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3DC9"/>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240"/>
    <w:rsid w:val="000365C1"/>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498A"/>
    <w:rsid w:val="00055023"/>
    <w:rsid w:val="00055C34"/>
    <w:rsid w:val="000560F4"/>
    <w:rsid w:val="000564C2"/>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47C"/>
    <w:rsid w:val="00070A29"/>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997"/>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2AD"/>
    <w:rsid w:val="0009495F"/>
    <w:rsid w:val="00094B7F"/>
    <w:rsid w:val="00094F1E"/>
    <w:rsid w:val="0009663F"/>
    <w:rsid w:val="00097356"/>
    <w:rsid w:val="00097DE4"/>
    <w:rsid w:val="000A0813"/>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2E1D"/>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3A54"/>
    <w:rsid w:val="000D442D"/>
    <w:rsid w:val="000D4614"/>
    <w:rsid w:val="000D4A9F"/>
    <w:rsid w:val="000D54BF"/>
    <w:rsid w:val="000D5865"/>
    <w:rsid w:val="000D5B26"/>
    <w:rsid w:val="000D6236"/>
    <w:rsid w:val="000D69EA"/>
    <w:rsid w:val="000D71A7"/>
    <w:rsid w:val="000E00C1"/>
    <w:rsid w:val="000E03CA"/>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6C3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56F49"/>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0BC"/>
    <w:rsid w:val="00173114"/>
    <w:rsid w:val="0017430A"/>
    <w:rsid w:val="001744FC"/>
    <w:rsid w:val="001745FB"/>
    <w:rsid w:val="0017488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7B4"/>
    <w:rsid w:val="001C283F"/>
    <w:rsid w:val="001C308A"/>
    <w:rsid w:val="001C3A08"/>
    <w:rsid w:val="001C434E"/>
    <w:rsid w:val="001C439F"/>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382"/>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AEC"/>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1BDC"/>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3428"/>
    <w:rsid w:val="00274752"/>
    <w:rsid w:val="00274B80"/>
    <w:rsid w:val="00274F9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97202"/>
    <w:rsid w:val="002A15A9"/>
    <w:rsid w:val="002A230F"/>
    <w:rsid w:val="002A314A"/>
    <w:rsid w:val="002A380D"/>
    <w:rsid w:val="002A3F08"/>
    <w:rsid w:val="002A4C1F"/>
    <w:rsid w:val="002A54A4"/>
    <w:rsid w:val="002A5546"/>
    <w:rsid w:val="002A5EF1"/>
    <w:rsid w:val="002A7AE1"/>
    <w:rsid w:val="002A7CFA"/>
    <w:rsid w:val="002A7D16"/>
    <w:rsid w:val="002A7DC0"/>
    <w:rsid w:val="002B049A"/>
    <w:rsid w:val="002B0561"/>
    <w:rsid w:val="002B07C8"/>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383"/>
    <w:rsid w:val="002E46A6"/>
    <w:rsid w:val="002E58D1"/>
    <w:rsid w:val="002E6217"/>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47F8"/>
    <w:rsid w:val="00364DF1"/>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31B"/>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3DFD"/>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1D7"/>
    <w:rsid w:val="003C520C"/>
    <w:rsid w:val="003C60D8"/>
    <w:rsid w:val="003C60F5"/>
    <w:rsid w:val="003C62E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5CDC"/>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7DD"/>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2739"/>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4DD4"/>
    <w:rsid w:val="00475349"/>
    <w:rsid w:val="0047544F"/>
    <w:rsid w:val="0047561C"/>
    <w:rsid w:val="004756DD"/>
    <w:rsid w:val="004759D4"/>
    <w:rsid w:val="0047656F"/>
    <w:rsid w:val="0047658F"/>
    <w:rsid w:val="00476AAD"/>
    <w:rsid w:val="00477011"/>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A7E"/>
    <w:rsid w:val="00496C40"/>
    <w:rsid w:val="00496DA4"/>
    <w:rsid w:val="004975BB"/>
    <w:rsid w:val="0049795A"/>
    <w:rsid w:val="00497B07"/>
    <w:rsid w:val="00497D47"/>
    <w:rsid w:val="004A0ABB"/>
    <w:rsid w:val="004A12CD"/>
    <w:rsid w:val="004A1F2A"/>
    <w:rsid w:val="004A2BF7"/>
    <w:rsid w:val="004A30EA"/>
    <w:rsid w:val="004A3A6D"/>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4E3"/>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276"/>
    <w:rsid w:val="004C57BF"/>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1D"/>
    <w:rsid w:val="004E6C79"/>
    <w:rsid w:val="004E75FF"/>
    <w:rsid w:val="004E77B1"/>
    <w:rsid w:val="004E7819"/>
    <w:rsid w:val="004E7C4A"/>
    <w:rsid w:val="004F0B33"/>
    <w:rsid w:val="004F19B4"/>
    <w:rsid w:val="004F1BC0"/>
    <w:rsid w:val="004F222D"/>
    <w:rsid w:val="004F31F8"/>
    <w:rsid w:val="004F3360"/>
    <w:rsid w:val="004F3451"/>
    <w:rsid w:val="004F380C"/>
    <w:rsid w:val="004F3C38"/>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388"/>
    <w:rsid w:val="00512C3F"/>
    <w:rsid w:val="005131B9"/>
    <w:rsid w:val="0051394F"/>
    <w:rsid w:val="00513F36"/>
    <w:rsid w:val="00514357"/>
    <w:rsid w:val="00514A3E"/>
    <w:rsid w:val="00514C4E"/>
    <w:rsid w:val="00514EF9"/>
    <w:rsid w:val="005150EA"/>
    <w:rsid w:val="005152A6"/>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1234"/>
    <w:rsid w:val="005523DD"/>
    <w:rsid w:val="00552451"/>
    <w:rsid w:val="00552F7E"/>
    <w:rsid w:val="005533D2"/>
    <w:rsid w:val="005537A9"/>
    <w:rsid w:val="00553C1B"/>
    <w:rsid w:val="00555233"/>
    <w:rsid w:val="005552F4"/>
    <w:rsid w:val="00555A91"/>
    <w:rsid w:val="00555EEF"/>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170D"/>
    <w:rsid w:val="005721F5"/>
    <w:rsid w:val="00572F51"/>
    <w:rsid w:val="00572F7B"/>
    <w:rsid w:val="005730A2"/>
    <w:rsid w:val="00573545"/>
    <w:rsid w:val="005750D6"/>
    <w:rsid w:val="00575CAE"/>
    <w:rsid w:val="00576684"/>
    <w:rsid w:val="0057724D"/>
    <w:rsid w:val="00577CCA"/>
    <w:rsid w:val="00577DB3"/>
    <w:rsid w:val="00580901"/>
    <w:rsid w:val="00580AA6"/>
    <w:rsid w:val="005813F9"/>
    <w:rsid w:val="0058147F"/>
    <w:rsid w:val="00581D17"/>
    <w:rsid w:val="00581E3D"/>
    <w:rsid w:val="0058255A"/>
    <w:rsid w:val="00583E64"/>
    <w:rsid w:val="00583E97"/>
    <w:rsid w:val="0058416E"/>
    <w:rsid w:val="00584652"/>
    <w:rsid w:val="005859BC"/>
    <w:rsid w:val="00585B1F"/>
    <w:rsid w:val="00586060"/>
    <w:rsid w:val="005860E7"/>
    <w:rsid w:val="005872CC"/>
    <w:rsid w:val="00587953"/>
    <w:rsid w:val="00587B38"/>
    <w:rsid w:val="00587FAB"/>
    <w:rsid w:val="005909A0"/>
    <w:rsid w:val="00591615"/>
    <w:rsid w:val="0059275D"/>
    <w:rsid w:val="00592B5E"/>
    <w:rsid w:val="00593543"/>
    <w:rsid w:val="005939A2"/>
    <w:rsid w:val="005943E7"/>
    <w:rsid w:val="00594EC0"/>
    <w:rsid w:val="005950FB"/>
    <w:rsid w:val="00595315"/>
    <w:rsid w:val="005953F6"/>
    <w:rsid w:val="00595587"/>
    <w:rsid w:val="00596DBD"/>
    <w:rsid w:val="005A026D"/>
    <w:rsid w:val="005A2264"/>
    <w:rsid w:val="005A23E6"/>
    <w:rsid w:val="005A3407"/>
    <w:rsid w:val="005A3713"/>
    <w:rsid w:val="005A3739"/>
    <w:rsid w:val="005A396D"/>
    <w:rsid w:val="005A3F63"/>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69F"/>
    <w:rsid w:val="005F47F7"/>
    <w:rsid w:val="005F7804"/>
    <w:rsid w:val="005F785B"/>
    <w:rsid w:val="005F79AD"/>
    <w:rsid w:val="005F7A1B"/>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D63"/>
    <w:rsid w:val="00621F2F"/>
    <w:rsid w:val="00624577"/>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4EA9"/>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7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16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0D33"/>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ACA"/>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5F1B"/>
    <w:rsid w:val="007269E7"/>
    <w:rsid w:val="00726E49"/>
    <w:rsid w:val="00727761"/>
    <w:rsid w:val="00727FF7"/>
    <w:rsid w:val="00730CF4"/>
    <w:rsid w:val="00731D50"/>
    <w:rsid w:val="00731D8C"/>
    <w:rsid w:val="00732A7F"/>
    <w:rsid w:val="007335D8"/>
    <w:rsid w:val="007338B6"/>
    <w:rsid w:val="007344AE"/>
    <w:rsid w:val="00734704"/>
    <w:rsid w:val="00735933"/>
    <w:rsid w:val="00735A1F"/>
    <w:rsid w:val="00735BED"/>
    <w:rsid w:val="00735F75"/>
    <w:rsid w:val="0073636B"/>
    <w:rsid w:val="0073678E"/>
    <w:rsid w:val="00740C90"/>
    <w:rsid w:val="00740E86"/>
    <w:rsid w:val="0074129E"/>
    <w:rsid w:val="00741E47"/>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77B4C"/>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3F36"/>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27EA"/>
    <w:rsid w:val="007B2A56"/>
    <w:rsid w:val="007B3040"/>
    <w:rsid w:val="007B412A"/>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D7DCB"/>
    <w:rsid w:val="007E0B25"/>
    <w:rsid w:val="007E0FCD"/>
    <w:rsid w:val="007E117B"/>
    <w:rsid w:val="007E12FD"/>
    <w:rsid w:val="007E1350"/>
    <w:rsid w:val="007E31FF"/>
    <w:rsid w:val="007E46DD"/>
    <w:rsid w:val="007E54BA"/>
    <w:rsid w:val="007E56F4"/>
    <w:rsid w:val="007E61AE"/>
    <w:rsid w:val="007E6FF3"/>
    <w:rsid w:val="007F1CC9"/>
    <w:rsid w:val="007F225B"/>
    <w:rsid w:val="007F26DC"/>
    <w:rsid w:val="007F3E3D"/>
    <w:rsid w:val="007F4152"/>
    <w:rsid w:val="007F434A"/>
    <w:rsid w:val="007F4CE9"/>
    <w:rsid w:val="007F4E63"/>
    <w:rsid w:val="007F4EE8"/>
    <w:rsid w:val="007F578E"/>
    <w:rsid w:val="007F58A4"/>
    <w:rsid w:val="007F5F69"/>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1F23"/>
    <w:rsid w:val="008122BF"/>
    <w:rsid w:val="00812B6D"/>
    <w:rsid w:val="00812DBB"/>
    <w:rsid w:val="00812E5B"/>
    <w:rsid w:val="00813058"/>
    <w:rsid w:val="008136E7"/>
    <w:rsid w:val="008168EE"/>
    <w:rsid w:val="00816F76"/>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0B0"/>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22E"/>
    <w:rsid w:val="008643D2"/>
    <w:rsid w:val="00864935"/>
    <w:rsid w:val="00864D23"/>
    <w:rsid w:val="00866446"/>
    <w:rsid w:val="00866DF4"/>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30A"/>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C81"/>
    <w:rsid w:val="00900F3B"/>
    <w:rsid w:val="00901264"/>
    <w:rsid w:val="009019B8"/>
    <w:rsid w:val="00901BD4"/>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A3F"/>
    <w:rsid w:val="00922C7C"/>
    <w:rsid w:val="00922D37"/>
    <w:rsid w:val="00922E6F"/>
    <w:rsid w:val="0092351D"/>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00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3E95"/>
    <w:rsid w:val="009D484D"/>
    <w:rsid w:val="009D5CD2"/>
    <w:rsid w:val="009D7140"/>
    <w:rsid w:val="009E0A86"/>
    <w:rsid w:val="009E0BD5"/>
    <w:rsid w:val="009E0E15"/>
    <w:rsid w:val="009E16F4"/>
    <w:rsid w:val="009E3AC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2CED"/>
    <w:rsid w:val="00A539BE"/>
    <w:rsid w:val="00A54226"/>
    <w:rsid w:val="00A56779"/>
    <w:rsid w:val="00A5698A"/>
    <w:rsid w:val="00A57442"/>
    <w:rsid w:val="00A57A9E"/>
    <w:rsid w:val="00A57F75"/>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6F"/>
    <w:rsid w:val="00A73EA0"/>
    <w:rsid w:val="00A7431C"/>
    <w:rsid w:val="00A753EF"/>
    <w:rsid w:val="00A753FF"/>
    <w:rsid w:val="00A76F5F"/>
    <w:rsid w:val="00A778CD"/>
    <w:rsid w:val="00A80F0C"/>
    <w:rsid w:val="00A81ABD"/>
    <w:rsid w:val="00A8202C"/>
    <w:rsid w:val="00A8218B"/>
    <w:rsid w:val="00A8278F"/>
    <w:rsid w:val="00A827B0"/>
    <w:rsid w:val="00A83F9A"/>
    <w:rsid w:val="00A844DA"/>
    <w:rsid w:val="00A8478E"/>
    <w:rsid w:val="00A84CB2"/>
    <w:rsid w:val="00A84D9D"/>
    <w:rsid w:val="00A8518C"/>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7C0"/>
    <w:rsid w:val="00AA0E30"/>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D81"/>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532"/>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0A6"/>
    <w:rsid w:val="00B2798F"/>
    <w:rsid w:val="00B302BD"/>
    <w:rsid w:val="00B3033A"/>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391"/>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038"/>
    <w:rsid w:val="00B6424B"/>
    <w:rsid w:val="00B64301"/>
    <w:rsid w:val="00B64537"/>
    <w:rsid w:val="00B649D1"/>
    <w:rsid w:val="00B656D9"/>
    <w:rsid w:val="00B65FA4"/>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DFB"/>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144"/>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4E1"/>
    <w:rsid w:val="00BB68D1"/>
    <w:rsid w:val="00BB6A77"/>
    <w:rsid w:val="00BB71B9"/>
    <w:rsid w:val="00BB77F1"/>
    <w:rsid w:val="00BB7BCD"/>
    <w:rsid w:val="00BC0684"/>
    <w:rsid w:val="00BC08A4"/>
    <w:rsid w:val="00BC13AE"/>
    <w:rsid w:val="00BC2376"/>
    <w:rsid w:val="00BC3A10"/>
    <w:rsid w:val="00BC51EB"/>
    <w:rsid w:val="00BC5692"/>
    <w:rsid w:val="00BC59FB"/>
    <w:rsid w:val="00BC5A35"/>
    <w:rsid w:val="00BC5E71"/>
    <w:rsid w:val="00BC6B6F"/>
    <w:rsid w:val="00BC6D6F"/>
    <w:rsid w:val="00BC7A3A"/>
    <w:rsid w:val="00BD0B6F"/>
    <w:rsid w:val="00BD0C3C"/>
    <w:rsid w:val="00BD26CC"/>
    <w:rsid w:val="00BD27BA"/>
    <w:rsid w:val="00BD2ACF"/>
    <w:rsid w:val="00BD317F"/>
    <w:rsid w:val="00BD45CD"/>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3F4"/>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8A3"/>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D5D"/>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1FA"/>
    <w:rsid w:val="00CA64F3"/>
    <w:rsid w:val="00CA67D9"/>
    <w:rsid w:val="00CA6811"/>
    <w:rsid w:val="00CA6B9C"/>
    <w:rsid w:val="00CA7065"/>
    <w:rsid w:val="00CA7D28"/>
    <w:rsid w:val="00CB03FC"/>
    <w:rsid w:val="00CB0E39"/>
    <w:rsid w:val="00CB2E32"/>
    <w:rsid w:val="00CB3116"/>
    <w:rsid w:val="00CB3B0B"/>
    <w:rsid w:val="00CB3FFB"/>
    <w:rsid w:val="00CB48A2"/>
    <w:rsid w:val="00CB4ADD"/>
    <w:rsid w:val="00CB4D80"/>
    <w:rsid w:val="00CB544D"/>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2BC"/>
    <w:rsid w:val="00CC2959"/>
    <w:rsid w:val="00CC2A50"/>
    <w:rsid w:val="00CC2D55"/>
    <w:rsid w:val="00CC435D"/>
    <w:rsid w:val="00CC4520"/>
    <w:rsid w:val="00CC4E05"/>
    <w:rsid w:val="00CC5770"/>
    <w:rsid w:val="00CC5A77"/>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0F1D"/>
    <w:rsid w:val="00CE10AF"/>
    <w:rsid w:val="00CE15F2"/>
    <w:rsid w:val="00CE3957"/>
    <w:rsid w:val="00CE3A40"/>
    <w:rsid w:val="00CE427A"/>
    <w:rsid w:val="00CE5E7B"/>
    <w:rsid w:val="00CE6349"/>
    <w:rsid w:val="00CE6401"/>
    <w:rsid w:val="00CE668C"/>
    <w:rsid w:val="00CE6DF7"/>
    <w:rsid w:val="00CE7849"/>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CF7AA1"/>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3B8E"/>
    <w:rsid w:val="00D1468E"/>
    <w:rsid w:val="00D14EFB"/>
    <w:rsid w:val="00D15315"/>
    <w:rsid w:val="00D15985"/>
    <w:rsid w:val="00D1636C"/>
    <w:rsid w:val="00D1757F"/>
    <w:rsid w:val="00D17D02"/>
    <w:rsid w:val="00D20270"/>
    <w:rsid w:val="00D20371"/>
    <w:rsid w:val="00D20F84"/>
    <w:rsid w:val="00D21C93"/>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219"/>
    <w:rsid w:val="00D376DC"/>
    <w:rsid w:val="00D37744"/>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1A57"/>
    <w:rsid w:val="00D5484B"/>
    <w:rsid w:val="00D55031"/>
    <w:rsid w:val="00D56654"/>
    <w:rsid w:val="00D56709"/>
    <w:rsid w:val="00D60133"/>
    <w:rsid w:val="00D60C5E"/>
    <w:rsid w:val="00D61D6C"/>
    <w:rsid w:val="00D62166"/>
    <w:rsid w:val="00D62DDB"/>
    <w:rsid w:val="00D630FA"/>
    <w:rsid w:val="00D631C3"/>
    <w:rsid w:val="00D63C0B"/>
    <w:rsid w:val="00D63E97"/>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5897"/>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4F6C"/>
    <w:rsid w:val="00DC5BCB"/>
    <w:rsid w:val="00DC6ADF"/>
    <w:rsid w:val="00DC74FE"/>
    <w:rsid w:val="00DC78B8"/>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0F5"/>
    <w:rsid w:val="00DE05E5"/>
    <w:rsid w:val="00DE0C86"/>
    <w:rsid w:val="00DE0C94"/>
    <w:rsid w:val="00DE17D1"/>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413"/>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744"/>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0748"/>
    <w:rsid w:val="00E5123C"/>
    <w:rsid w:val="00E51451"/>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490"/>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4986"/>
    <w:rsid w:val="00E8604A"/>
    <w:rsid w:val="00E861E5"/>
    <w:rsid w:val="00E871D8"/>
    <w:rsid w:val="00E87C41"/>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1DE8"/>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4AF6"/>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0E9"/>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2CC4"/>
    <w:rsid w:val="00EF341C"/>
    <w:rsid w:val="00EF3F50"/>
    <w:rsid w:val="00EF40A6"/>
    <w:rsid w:val="00EF4B3D"/>
    <w:rsid w:val="00EF4F89"/>
    <w:rsid w:val="00EF57ED"/>
    <w:rsid w:val="00EF6019"/>
    <w:rsid w:val="00EF6518"/>
    <w:rsid w:val="00EF6C86"/>
    <w:rsid w:val="00F000FE"/>
    <w:rsid w:val="00F00166"/>
    <w:rsid w:val="00F00B37"/>
    <w:rsid w:val="00F01670"/>
    <w:rsid w:val="00F01B90"/>
    <w:rsid w:val="00F01F27"/>
    <w:rsid w:val="00F02555"/>
    <w:rsid w:val="00F060D3"/>
    <w:rsid w:val="00F06780"/>
    <w:rsid w:val="00F06E45"/>
    <w:rsid w:val="00F07ACE"/>
    <w:rsid w:val="00F1019F"/>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677"/>
    <w:rsid w:val="00F23820"/>
    <w:rsid w:val="00F23E5B"/>
    <w:rsid w:val="00F256B9"/>
    <w:rsid w:val="00F25A16"/>
    <w:rsid w:val="00F26C35"/>
    <w:rsid w:val="00F26CC7"/>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3F8D"/>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45E"/>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09C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D15"/>
    <w:rsid w:val="00FB1EBE"/>
    <w:rsid w:val="00FB3011"/>
    <w:rsid w:val="00FB35AE"/>
    <w:rsid w:val="00FB3DCE"/>
    <w:rsid w:val="00FB4E3B"/>
    <w:rsid w:val="00FB50C9"/>
    <w:rsid w:val="00FB53E7"/>
    <w:rsid w:val="00FB5B11"/>
    <w:rsid w:val="00FB5FBA"/>
    <w:rsid w:val="00FB62DA"/>
    <w:rsid w:val="00FB7052"/>
    <w:rsid w:val="00FB731F"/>
    <w:rsid w:val="00FC078D"/>
    <w:rsid w:val="00FC0C43"/>
    <w:rsid w:val="00FC104A"/>
    <w:rsid w:val="00FC10A8"/>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021"/>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0AA00D"/>
  <w15:docId w15:val="{C447EA85-72E5-4D0F-AA7A-97079A62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uiPriority w:val="99"/>
    <w:rsid w:val="00E330AF"/>
    <w:rPr>
      <w:sz w:val="16"/>
      <w:szCs w:val="16"/>
    </w:rPr>
  </w:style>
  <w:style w:type="paragraph" w:styleId="Textkomente">
    <w:name w:val="annotation text"/>
    <w:basedOn w:val="Normln"/>
    <w:link w:val="TextkomenteChar"/>
    <w:uiPriority w:val="99"/>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F2-zkladn">
    <w:name w:val="F2 - základní"/>
    <w:link w:val="F2-zkladnCharChar"/>
    <w:rsid w:val="001C434E"/>
    <w:pPr>
      <w:spacing w:before="240" w:line="300" w:lineRule="exact"/>
      <w:jc w:val="both"/>
    </w:pPr>
    <w:rPr>
      <w:rFonts w:ascii="Arial" w:hAnsi="Arial" w:cs="Arial"/>
      <w:lang w:val="cs-CZ" w:eastAsia="cs-CZ"/>
    </w:rPr>
  </w:style>
  <w:style w:type="character" w:customStyle="1" w:styleId="F2-zkladnCharChar">
    <w:name w:val="F2 - základní Char Char"/>
    <w:link w:val="F2-zkladn"/>
    <w:rsid w:val="001C434E"/>
    <w:rPr>
      <w:rFonts w:ascii="Arial" w:hAnsi="Arial" w:cs="Arial"/>
      <w:lang w:val="cs-CZ" w:eastAsia="cs-CZ"/>
    </w:rPr>
  </w:style>
  <w:style w:type="character" w:customStyle="1" w:styleId="TextkomenteChar">
    <w:name w:val="Text komentáře Char"/>
    <w:link w:val="Textkomente"/>
    <w:uiPriority w:val="99"/>
    <w:rsid w:val="001C434E"/>
    <w:rPr>
      <w:rFonts w:ascii="Interstate-Light" w:hAnsi="Interstate-Light"/>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liska.krohova@crestcom.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26F918-6FDC-48AA-897E-2562459DD7DB}">
  <ds:schemaRefs>
    <ds:schemaRef ds:uri="http://schemas.openxmlformats.org/officeDocument/2006/bibliography"/>
  </ds:schemaRefs>
</ds:datastoreItem>
</file>

<file path=customXml/itemProps2.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4.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1100</Words>
  <Characters>6494</Characters>
  <Application>Microsoft Office Word</Application>
  <DocSecurity>0</DocSecurity>
  <Lines>54</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Eliška Krohová</cp:lastModifiedBy>
  <cp:revision>2</cp:revision>
  <cp:lastPrinted>2021-02-17T20:24:00Z</cp:lastPrinted>
  <dcterms:created xsi:type="dcterms:W3CDTF">2025-03-06T21:07:00Z</dcterms:created>
  <dcterms:modified xsi:type="dcterms:W3CDTF">2025-03-06T21:07:00Z</dcterms:modified>
</cp:coreProperties>
</file>